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DC1" w:rsidRPr="00D73ADA" w:rsidRDefault="00FA3DC1" w:rsidP="00D73ADA">
      <w:pPr>
        <w:ind w:left="-851" w:right="-284" w:firstLine="284"/>
        <w:jc w:val="center"/>
        <w:rPr>
          <w:b/>
        </w:rPr>
      </w:pPr>
      <w:r w:rsidRPr="00D73ADA">
        <w:rPr>
          <w:b/>
        </w:rPr>
        <w:t>Информация</w:t>
      </w:r>
    </w:p>
    <w:p w:rsidR="00FA3DC1" w:rsidRPr="00D73ADA" w:rsidRDefault="00FA3DC1" w:rsidP="00D73ADA">
      <w:pPr>
        <w:ind w:left="-851" w:right="-284" w:firstLine="284"/>
        <w:jc w:val="center"/>
        <w:rPr>
          <w:b/>
        </w:rPr>
      </w:pPr>
      <w:r w:rsidRPr="00D73ADA">
        <w:rPr>
          <w:b/>
        </w:rPr>
        <w:t>о подготовке объектов ЖКХ и энергетики  к отопительному сезону</w:t>
      </w:r>
    </w:p>
    <w:p w:rsidR="00FA3DC1" w:rsidRPr="00D73ADA" w:rsidRDefault="00FA3DC1" w:rsidP="00D73ADA">
      <w:pPr>
        <w:ind w:left="-851" w:right="-284" w:firstLine="284"/>
        <w:jc w:val="center"/>
        <w:rPr>
          <w:b/>
        </w:rPr>
      </w:pPr>
      <w:r w:rsidRPr="00D73ADA">
        <w:rPr>
          <w:b/>
        </w:rPr>
        <w:t xml:space="preserve"> 2014-2015г. по МО «Коношский муниципальный район»</w:t>
      </w:r>
    </w:p>
    <w:p w:rsidR="00FA3DC1" w:rsidRPr="00D73ADA" w:rsidRDefault="00FA3DC1" w:rsidP="00D73ADA">
      <w:pPr>
        <w:ind w:left="-851" w:right="-284" w:firstLine="284"/>
        <w:jc w:val="both"/>
      </w:pPr>
    </w:p>
    <w:p w:rsidR="00FA3DC1" w:rsidRPr="00D73ADA" w:rsidRDefault="00FA3DC1" w:rsidP="00D73ADA">
      <w:pPr>
        <w:ind w:left="-851" w:right="-284" w:firstLine="284"/>
        <w:jc w:val="both"/>
      </w:pPr>
      <w:r w:rsidRPr="00D73ADA">
        <w:tab/>
      </w:r>
      <w:proofErr w:type="gramStart"/>
      <w:r w:rsidRPr="00D73ADA">
        <w:t xml:space="preserve">В соответствии с районным распоряжением «О мерах по подготовке объектов жилищно-коммунального хозяйства и топливно-энергетического комплекса к отопительному периоду 2014-2015г.» №143-р от 28 апреля 2014 года главами муниципальных образований организована работа по подготовке объектов ЖКХ и энергетики, расположенных на территории своих муниципальных образований,  изданы распоряжения,  созданы комиссии, разработаны планы мероприятий подготовки объектов ТЭК,  ЖКХ и жилищного фонда. </w:t>
      </w:r>
      <w:proofErr w:type="gramEnd"/>
    </w:p>
    <w:p w:rsidR="00FA3DC1" w:rsidRPr="00D73ADA" w:rsidRDefault="00FA3DC1" w:rsidP="00D73ADA">
      <w:pPr>
        <w:ind w:left="-851" w:right="-284" w:firstLine="284"/>
        <w:jc w:val="both"/>
      </w:pPr>
      <w:r w:rsidRPr="00D73ADA">
        <w:t xml:space="preserve">          На основе их сформирован сводный план мероприятий в целом по МО «Коношский муниципальный район». Определены нормативные запасы топлива по каждому предприятию, определены объемы работ и источники финансирования. </w:t>
      </w:r>
      <w:proofErr w:type="gramStart"/>
      <w:r w:rsidRPr="00D73ADA">
        <w:t xml:space="preserve">Всего запланировано ремонтных работ на сумму 7,9 млн. руб., из них 4,9 млн. руб. средства предприятий, 2,7 млн. руб.- средства поселений, 03 млн. руб. областные  средства. </w:t>
      </w:r>
      <w:proofErr w:type="gramEnd"/>
    </w:p>
    <w:p w:rsidR="00FA3DC1" w:rsidRPr="00D73ADA" w:rsidRDefault="00FA3DC1" w:rsidP="00D73ADA">
      <w:pPr>
        <w:ind w:left="-851" w:right="-284" w:firstLine="284"/>
        <w:jc w:val="both"/>
      </w:pPr>
      <w:r w:rsidRPr="00D73ADA">
        <w:t xml:space="preserve">             Распоряжением администрации муниципального образования «Коношский муниципальный район» от 28.04.2014г. № 143-р создана комиссия по вопросам подготовки объектов ЖКХ и энергетики к ОЗП 2014- 2015гг, которую возглавил первый заместитель главы администрации С.В.Серов. Проведено  два заседания комиссии. </w:t>
      </w:r>
      <w:proofErr w:type="gramStart"/>
      <w:r w:rsidRPr="00D73ADA">
        <w:t xml:space="preserve">На  заседании комиссии 23 июля 2014г., где  главы поселений (отсутствовали глава МО «Подюжское» и глава МО «Ерцевское») и руководители жилищно-коммунального хозяйства и энергетики информировали о ходе подготовки объектов ТЭК и ЖКХ к отопительному сезону 2014-2015г, была отмечена в текущем  году положительная динамика поселений и организаций  за исключением МО «Волошское» по подготовке  объектов ТЭК и ЖКХ к ОЗП 2014-2015г. </w:t>
      </w:r>
      <w:proofErr w:type="gramEnd"/>
    </w:p>
    <w:p w:rsidR="00FA3DC1" w:rsidRPr="00D73ADA" w:rsidRDefault="00FA3DC1" w:rsidP="00D73ADA">
      <w:pPr>
        <w:ind w:left="-851" w:right="-284" w:firstLine="284"/>
        <w:jc w:val="both"/>
      </w:pPr>
      <w:r w:rsidRPr="00D73ADA">
        <w:t xml:space="preserve">         </w:t>
      </w:r>
      <w:proofErr w:type="gramStart"/>
      <w:r w:rsidRPr="00D73ADA">
        <w:t>В соответствии с отчетом «Сведения о подготовке жилищно-коммунального хозяйства к работе в зимних условиях» (форма № 1-ЖКХ (зима) по состоянию на 15.08.2014г. готовность объектов энергетики   и  ЖКХ составляет:</w:t>
      </w:r>
      <w:proofErr w:type="gramEnd"/>
    </w:p>
    <w:tbl>
      <w:tblPr>
        <w:tblStyle w:val="a3"/>
        <w:tblW w:w="0" w:type="auto"/>
        <w:tblLook w:val="01E0"/>
      </w:tblPr>
      <w:tblGrid>
        <w:gridCol w:w="550"/>
        <w:gridCol w:w="3878"/>
        <w:gridCol w:w="5142"/>
      </w:tblGrid>
      <w:tr w:rsidR="00FA3DC1" w:rsidRPr="00D73ADA" w:rsidTr="008C77C5">
        <w:trPr>
          <w:trHeight w:val="655"/>
        </w:trPr>
        <w:tc>
          <w:tcPr>
            <w:tcW w:w="550" w:type="dxa"/>
            <w:tcBorders>
              <w:top w:val="single" w:sz="4" w:space="0" w:color="auto"/>
              <w:left w:val="single" w:sz="4" w:space="0" w:color="auto"/>
              <w:right w:val="single" w:sz="4" w:space="0" w:color="auto"/>
            </w:tcBorders>
          </w:tcPr>
          <w:p w:rsidR="00FA3DC1" w:rsidRPr="00D73ADA" w:rsidRDefault="00FA3DC1" w:rsidP="00D73ADA">
            <w:pPr>
              <w:ind w:left="-851" w:right="-284" w:firstLine="284"/>
              <w:jc w:val="both"/>
            </w:pPr>
            <w:r w:rsidRPr="00D73ADA">
              <w:t xml:space="preserve">№ </w:t>
            </w:r>
            <w:proofErr w:type="spellStart"/>
            <w:proofErr w:type="gramStart"/>
            <w:r w:rsidRPr="00D73ADA">
              <w:t>п</w:t>
            </w:r>
            <w:proofErr w:type="spellEnd"/>
            <w:proofErr w:type="gramEnd"/>
            <w:r w:rsidRPr="00D73ADA">
              <w:t>/</w:t>
            </w:r>
            <w:proofErr w:type="spellStart"/>
            <w:r w:rsidRPr="00D73ADA">
              <w:t>п</w:t>
            </w:r>
            <w:proofErr w:type="spellEnd"/>
          </w:p>
        </w:tc>
        <w:tc>
          <w:tcPr>
            <w:tcW w:w="3878" w:type="dxa"/>
            <w:tcBorders>
              <w:top w:val="single" w:sz="4" w:space="0" w:color="auto"/>
              <w:left w:val="single" w:sz="4" w:space="0" w:color="auto"/>
              <w:right w:val="single" w:sz="4" w:space="0" w:color="auto"/>
            </w:tcBorders>
          </w:tcPr>
          <w:p w:rsidR="00FA3DC1" w:rsidRPr="00D73ADA" w:rsidRDefault="00FA3DC1" w:rsidP="00D73ADA">
            <w:pPr>
              <w:ind w:left="-851" w:right="-284" w:firstLine="284"/>
              <w:jc w:val="both"/>
            </w:pPr>
            <w:r w:rsidRPr="00D73ADA">
              <w:t>Наименование объекта</w:t>
            </w:r>
          </w:p>
        </w:tc>
        <w:tc>
          <w:tcPr>
            <w:tcW w:w="5142" w:type="dxa"/>
            <w:tcBorders>
              <w:top w:val="single" w:sz="4" w:space="0" w:color="auto"/>
              <w:left w:val="single" w:sz="4" w:space="0" w:color="auto"/>
              <w:right w:val="single" w:sz="4" w:space="0" w:color="auto"/>
            </w:tcBorders>
            <w:shd w:val="clear" w:color="auto" w:fill="auto"/>
          </w:tcPr>
          <w:p w:rsidR="00FA3DC1" w:rsidRPr="00D73ADA" w:rsidRDefault="00FA3DC1" w:rsidP="00D73ADA">
            <w:pPr>
              <w:ind w:left="-851" w:right="-284" w:firstLine="284"/>
              <w:jc w:val="both"/>
            </w:pPr>
            <w:r w:rsidRPr="00D73ADA">
              <w:t>% выполнения</w:t>
            </w:r>
          </w:p>
        </w:tc>
      </w:tr>
      <w:tr w:rsidR="00FA3DC1" w:rsidRPr="00D73ADA" w:rsidTr="008C77C5">
        <w:tc>
          <w:tcPr>
            <w:tcW w:w="550" w:type="dxa"/>
            <w:tcBorders>
              <w:top w:val="single" w:sz="4" w:space="0" w:color="auto"/>
              <w:left w:val="single" w:sz="4" w:space="0" w:color="auto"/>
              <w:bottom w:val="single" w:sz="4" w:space="0" w:color="auto"/>
              <w:right w:val="single" w:sz="4" w:space="0" w:color="auto"/>
            </w:tcBorders>
          </w:tcPr>
          <w:p w:rsidR="00FA3DC1" w:rsidRPr="00D73ADA" w:rsidRDefault="00FA3DC1" w:rsidP="00D73ADA">
            <w:pPr>
              <w:ind w:left="-851" w:right="-284" w:firstLine="284"/>
              <w:jc w:val="both"/>
            </w:pPr>
            <w:r w:rsidRPr="00D73ADA">
              <w:t>1.</w:t>
            </w:r>
          </w:p>
        </w:tc>
        <w:tc>
          <w:tcPr>
            <w:tcW w:w="3878" w:type="dxa"/>
            <w:tcBorders>
              <w:top w:val="single" w:sz="4" w:space="0" w:color="auto"/>
              <w:left w:val="single" w:sz="4" w:space="0" w:color="auto"/>
              <w:bottom w:val="single" w:sz="4" w:space="0" w:color="auto"/>
              <w:right w:val="single" w:sz="4" w:space="0" w:color="auto"/>
            </w:tcBorders>
          </w:tcPr>
          <w:p w:rsidR="00FA3DC1" w:rsidRPr="00D73ADA" w:rsidRDefault="00FA3DC1" w:rsidP="00D73ADA">
            <w:pPr>
              <w:ind w:left="-851" w:right="-284" w:firstLine="284"/>
              <w:jc w:val="both"/>
            </w:pPr>
            <w:r w:rsidRPr="00D73ADA">
              <w:t xml:space="preserve">котельные </w:t>
            </w:r>
            <w:proofErr w:type="spellStart"/>
            <w:r w:rsidRPr="00D73ADA">
              <w:t>мун</w:t>
            </w:r>
            <w:proofErr w:type="spellEnd"/>
            <w:r w:rsidRPr="00D73ADA">
              <w:t xml:space="preserve">.,                            </w:t>
            </w:r>
          </w:p>
        </w:tc>
        <w:tc>
          <w:tcPr>
            <w:tcW w:w="5142" w:type="dxa"/>
            <w:tcBorders>
              <w:left w:val="single" w:sz="4" w:space="0" w:color="auto"/>
              <w:right w:val="single" w:sz="4" w:space="0" w:color="auto"/>
            </w:tcBorders>
            <w:shd w:val="clear" w:color="auto" w:fill="auto"/>
          </w:tcPr>
          <w:p w:rsidR="00FA3DC1" w:rsidRPr="00D73ADA" w:rsidRDefault="00FA3DC1" w:rsidP="00D73ADA">
            <w:pPr>
              <w:ind w:left="-851" w:right="-284" w:firstLine="284"/>
              <w:jc w:val="both"/>
            </w:pPr>
            <w:r w:rsidRPr="00D73ADA">
              <w:t>58</w:t>
            </w:r>
          </w:p>
        </w:tc>
      </w:tr>
      <w:tr w:rsidR="00FA3DC1" w:rsidRPr="00D73ADA" w:rsidTr="008C77C5">
        <w:tc>
          <w:tcPr>
            <w:tcW w:w="550" w:type="dxa"/>
            <w:tcBorders>
              <w:top w:val="single" w:sz="4" w:space="0" w:color="auto"/>
              <w:left w:val="single" w:sz="4" w:space="0" w:color="auto"/>
              <w:bottom w:val="single" w:sz="4" w:space="0" w:color="auto"/>
              <w:right w:val="single" w:sz="4" w:space="0" w:color="auto"/>
            </w:tcBorders>
          </w:tcPr>
          <w:p w:rsidR="00FA3DC1" w:rsidRPr="00D73ADA" w:rsidRDefault="00FA3DC1" w:rsidP="00D73ADA">
            <w:pPr>
              <w:ind w:left="-851" w:right="-284" w:firstLine="284"/>
              <w:jc w:val="both"/>
            </w:pPr>
            <w:r w:rsidRPr="00D73ADA">
              <w:t>2.</w:t>
            </w:r>
          </w:p>
        </w:tc>
        <w:tc>
          <w:tcPr>
            <w:tcW w:w="3878" w:type="dxa"/>
            <w:tcBorders>
              <w:top w:val="single" w:sz="4" w:space="0" w:color="auto"/>
              <w:left w:val="single" w:sz="4" w:space="0" w:color="auto"/>
              <w:bottom w:val="single" w:sz="4" w:space="0" w:color="auto"/>
              <w:right w:val="single" w:sz="4" w:space="0" w:color="auto"/>
            </w:tcBorders>
          </w:tcPr>
          <w:p w:rsidR="00FA3DC1" w:rsidRPr="00D73ADA" w:rsidRDefault="00FA3DC1" w:rsidP="00D73ADA">
            <w:pPr>
              <w:tabs>
                <w:tab w:val="right" w:pos="3662"/>
              </w:tabs>
              <w:ind w:left="-851" w:right="-284" w:firstLine="284"/>
              <w:jc w:val="both"/>
            </w:pPr>
            <w:r w:rsidRPr="00D73ADA">
              <w:t xml:space="preserve">тепловые сети,                      </w:t>
            </w:r>
          </w:p>
        </w:tc>
        <w:tc>
          <w:tcPr>
            <w:tcW w:w="5142" w:type="dxa"/>
            <w:tcBorders>
              <w:left w:val="single" w:sz="4" w:space="0" w:color="auto"/>
              <w:right w:val="single" w:sz="4" w:space="0" w:color="auto"/>
            </w:tcBorders>
            <w:shd w:val="clear" w:color="auto" w:fill="auto"/>
          </w:tcPr>
          <w:p w:rsidR="00FA3DC1" w:rsidRPr="00D73ADA" w:rsidRDefault="00FA3DC1" w:rsidP="00D73ADA">
            <w:pPr>
              <w:ind w:left="-851" w:right="-284" w:firstLine="284"/>
              <w:jc w:val="both"/>
            </w:pPr>
            <w:r w:rsidRPr="00D73ADA">
              <w:t>85,8</w:t>
            </w:r>
          </w:p>
        </w:tc>
      </w:tr>
      <w:tr w:rsidR="00FA3DC1" w:rsidRPr="00D73ADA" w:rsidTr="008C77C5">
        <w:tc>
          <w:tcPr>
            <w:tcW w:w="550" w:type="dxa"/>
            <w:tcBorders>
              <w:top w:val="single" w:sz="4" w:space="0" w:color="auto"/>
              <w:left w:val="single" w:sz="4" w:space="0" w:color="auto"/>
              <w:bottom w:val="single" w:sz="4" w:space="0" w:color="auto"/>
              <w:right w:val="single" w:sz="4" w:space="0" w:color="auto"/>
            </w:tcBorders>
          </w:tcPr>
          <w:p w:rsidR="00FA3DC1" w:rsidRPr="00D73ADA" w:rsidRDefault="00FA3DC1" w:rsidP="00D73ADA">
            <w:pPr>
              <w:ind w:left="-851" w:right="-284" w:firstLine="284"/>
              <w:jc w:val="both"/>
            </w:pPr>
            <w:r w:rsidRPr="00D73ADA">
              <w:t>3.</w:t>
            </w:r>
          </w:p>
        </w:tc>
        <w:tc>
          <w:tcPr>
            <w:tcW w:w="3878" w:type="dxa"/>
            <w:tcBorders>
              <w:top w:val="single" w:sz="4" w:space="0" w:color="auto"/>
              <w:left w:val="single" w:sz="4" w:space="0" w:color="auto"/>
              <w:bottom w:val="single" w:sz="4" w:space="0" w:color="auto"/>
              <w:right w:val="single" w:sz="4" w:space="0" w:color="auto"/>
            </w:tcBorders>
          </w:tcPr>
          <w:p w:rsidR="00FA3DC1" w:rsidRPr="00D73ADA" w:rsidRDefault="00FA3DC1" w:rsidP="00D73ADA">
            <w:pPr>
              <w:ind w:left="-851" w:right="-284" w:firstLine="284"/>
              <w:jc w:val="both"/>
            </w:pPr>
            <w:r w:rsidRPr="00D73ADA">
              <w:t xml:space="preserve">центральные тепловые пункты,                                </w:t>
            </w:r>
          </w:p>
        </w:tc>
        <w:tc>
          <w:tcPr>
            <w:tcW w:w="5142" w:type="dxa"/>
            <w:tcBorders>
              <w:left w:val="single" w:sz="4" w:space="0" w:color="auto"/>
              <w:right w:val="single" w:sz="4" w:space="0" w:color="auto"/>
            </w:tcBorders>
            <w:shd w:val="clear" w:color="auto" w:fill="auto"/>
          </w:tcPr>
          <w:p w:rsidR="00FA3DC1" w:rsidRPr="00D73ADA" w:rsidRDefault="00FA3DC1" w:rsidP="00D73ADA">
            <w:pPr>
              <w:ind w:left="-851" w:right="-284" w:firstLine="284"/>
              <w:jc w:val="both"/>
            </w:pPr>
            <w:r w:rsidRPr="00D73ADA">
              <w:t>100</w:t>
            </w:r>
          </w:p>
        </w:tc>
      </w:tr>
      <w:tr w:rsidR="00FA3DC1" w:rsidRPr="00D73ADA" w:rsidTr="008C77C5">
        <w:tc>
          <w:tcPr>
            <w:tcW w:w="550" w:type="dxa"/>
            <w:tcBorders>
              <w:top w:val="single" w:sz="4" w:space="0" w:color="auto"/>
              <w:left w:val="single" w:sz="4" w:space="0" w:color="auto"/>
              <w:bottom w:val="single" w:sz="4" w:space="0" w:color="auto"/>
              <w:right w:val="single" w:sz="4" w:space="0" w:color="auto"/>
            </w:tcBorders>
          </w:tcPr>
          <w:p w:rsidR="00FA3DC1" w:rsidRPr="00D73ADA" w:rsidRDefault="00FA3DC1" w:rsidP="00D73ADA">
            <w:pPr>
              <w:ind w:left="-851" w:right="-284" w:firstLine="284"/>
              <w:jc w:val="both"/>
            </w:pPr>
            <w:r w:rsidRPr="00D73ADA">
              <w:t>4.</w:t>
            </w:r>
          </w:p>
        </w:tc>
        <w:tc>
          <w:tcPr>
            <w:tcW w:w="3878" w:type="dxa"/>
            <w:tcBorders>
              <w:top w:val="single" w:sz="4" w:space="0" w:color="auto"/>
              <w:left w:val="single" w:sz="4" w:space="0" w:color="auto"/>
              <w:bottom w:val="single" w:sz="4" w:space="0" w:color="auto"/>
              <w:right w:val="single" w:sz="4" w:space="0" w:color="auto"/>
            </w:tcBorders>
          </w:tcPr>
          <w:p w:rsidR="00FA3DC1" w:rsidRPr="00D73ADA" w:rsidRDefault="00FA3DC1" w:rsidP="00D73ADA">
            <w:pPr>
              <w:ind w:left="-851" w:right="-284" w:firstLine="284"/>
              <w:jc w:val="both"/>
            </w:pPr>
            <w:r w:rsidRPr="00D73ADA">
              <w:t>водозаборы</w:t>
            </w:r>
          </w:p>
        </w:tc>
        <w:tc>
          <w:tcPr>
            <w:tcW w:w="5142" w:type="dxa"/>
            <w:tcBorders>
              <w:left w:val="single" w:sz="4" w:space="0" w:color="auto"/>
              <w:right w:val="single" w:sz="4" w:space="0" w:color="auto"/>
            </w:tcBorders>
            <w:shd w:val="clear" w:color="auto" w:fill="auto"/>
          </w:tcPr>
          <w:p w:rsidR="00FA3DC1" w:rsidRPr="00D73ADA" w:rsidRDefault="00FA3DC1" w:rsidP="00D73ADA">
            <w:pPr>
              <w:ind w:left="-851" w:right="-284" w:firstLine="284"/>
              <w:jc w:val="both"/>
            </w:pPr>
            <w:r w:rsidRPr="00D73ADA">
              <w:t>89</w:t>
            </w:r>
          </w:p>
        </w:tc>
      </w:tr>
      <w:tr w:rsidR="00FA3DC1" w:rsidRPr="00D73ADA" w:rsidTr="008C77C5">
        <w:trPr>
          <w:trHeight w:val="320"/>
        </w:trPr>
        <w:tc>
          <w:tcPr>
            <w:tcW w:w="550" w:type="dxa"/>
            <w:tcBorders>
              <w:top w:val="single" w:sz="4" w:space="0" w:color="auto"/>
              <w:left w:val="single" w:sz="4" w:space="0" w:color="auto"/>
              <w:bottom w:val="single" w:sz="4" w:space="0" w:color="auto"/>
              <w:right w:val="single" w:sz="4" w:space="0" w:color="auto"/>
            </w:tcBorders>
          </w:tcPr>
          <w:p w:rsidR="00FA3DC1" w:rsidRPr="00D73ADA" w:rsidRDefault="00FA3DC1" w:rsidP="00D73ADA">
            <w:pPr>
              <w:ind w:left="-851" w:right="-284" w:firstLine="284"/>
              <w:jc w:val="both"/>
            </w:pPr>
            <w:r w:rsidRPr="00D73ADA">
              <w:t>5</w:t>
            </w:r>
          </w:p>
        </w:tc>
        <w:tc>
          <w:tcPr>
            <w:tcW w:w="3878" w:type="dxa"/>
            <w:tcBorders>
              <w:top w:val="single" w:sz="4" w:space="0" w:color="auto"/>
              <w:left w:val="single" w:sz="4" w:space="0" w:color="auto"/>
              <w:bottom w:val="single" w:sz="4" w:space="0" w:color="auto"/>
              <w:right w:val="single" w:sz="4" w:space="0" w:color="auto"/>
            </w:tcBorders>
          </w:tcPr>
          <w:p w:rsidR="00FA3DC1" w:rsidRPr="00D73ADA" w:rsidRDefault="00FA3DC1" w:rsidP="00D73ADA">
            <w:pPr>
              <w:ind w:left="-851" w:right="-284" w:firstLine="284"/>
              <w:jc w:val="both"/>
            </w:pPr>
            <w:r w:rsidRPr="00D73ADA">
              <w:t>водопроводные сети</w:t>
            </w:r>
          </w:p>
        </w:tc>
        <w:tc>
          <w:tcPr>
            <w:tcW w:w="5142" w:type="dxa"/>
            <w:tcBorders>
              <w:left w:val="single" w:sz="4" w:space="0" w:color="auto"/>
              <w:right w:val="single" w:sz="4" w:space="0" w:color="auto"/>
            </w:tcBorders>
            <w:shd w:val="clear" w:color="auto" w:fill="auto"/>
          </w:tcPr>
          <w:p w:rsidR="00FA3DC1" w:rsidRPr="00D73ADA" w:rsidRDefault="00FA3DC1" w:rsidP="00D73ADA">
            <w:pPr>
              <w:ind w:left="-851" w:right="-284" w:firstLine="284"/>
              <w:jc w:val="both"/>
            </w:pPr>
            <w:r w:rsidRPr="00D73ADA">
              <w:t>90</w:t>
            </w:r>
          </w:p>
        </w:tc>
      </w:tr>
      <w:tr w:rsidR="00FA3DC1" w:rsidRPr="00D73ADA" w:rsidTr="008C77C5">
        <w:trPr>
          <w:trHeight w:val="320"/>
        </w:trPr>
        <w:tc>
          <w:tcPr>
            <w:tcW w:w="550" w:type="dxa"/>
            <w:tcBorders>
              <w:top w:val="single" w:sz="4" w:space="0" w:color="auto"/>
              <w:left w:val="single" w:sz="4" w:space="0" w:color="auto"/>
              <w:bottom w:val="single" w:sz="4" w:space="0" w:color="auto"/>
              <w:right w:val="single" w:sz="4" w:space="0" w:color="auto"/>
            </w:tcBorders>
          </w:tcPr>
          <w:p w:rsidR="00FA3DC1" w:rsidRPr="00D73ADA" w:rsidRDefault="00FA3DC1" w:rsidP="00D73ADA">
            <w:pPr>
              <w:ind w:left="-851" w:right="-284" w:firstLine="284"/>
              <w:jc w:val="both"/>
            </w:pPr>
            <w:r w:rsidRPr="00D73ADA">
              <w:t>6</w:t>
            </w:r>
          </w:p>
        </w:tc>
        <w:tc>
          <w:tcPr>
            <w:tcW w:w="3878" w:type="dxa"/>
            <w:tcBorders>
              <w:top w:val="single" w:sz="4" w:space="0" w:color="auto"/>
              <w:left w:val="single" w:sz="4" w:space="0" w:color="auto"/>
              <w:bottom w:val="single" w:sz="4" w:space="0" w:color="auto"/>
              <w:right w:val="single" w:sz="4" w:space="0" w:color="auto"/>
            </w:tcBorders>
          </w:tcPr>
          <w:p w:rsidR="00FA3DC1" w:rsidRPr="00D73ADA" w:rsidRDefault="00FA3DC1" w:rsidP="00D73ADA">
            <w:pPr>
              <w:ind w:left="-851" w:right="-284" w:firstLine="284"/>
              <w:jc w:val="both"/>
            </w:pPr>
            <w:r w:rsidRPr="00D73ADA">
              <w:t>канализационные  сети</w:t>
            </w:r>
          </w:p>
        </w:tc>
        <w:tc>
          <w:tcPr>
            <w:tcW w:w="5142" w:type="dxa"/>
            <w:tcBorders>
              <w:left w:val="single" w:sz="4" w:space="0" w:color="auto"/>
              <w:right w:val="single" w:sz="4" w:space="0" w:color="auto"/>
            </w:tcBorders>
            <w:shd w:val="clear" w:color="auto" w:fill="auto"/>
          </w:tcPr>
          <w:p w:rsidR="00FA3DC1" w:rsidRPr="00D73ADA" w:rsidRDefault="00FA3DC1" w:rsidP="00D73ADA">
            <w:pPr>
              <w:ind w:left="-851" w:right="-284" w:firstLine="284"/>
              <w:jc w:val="both"/>
            </w:pPr>
            <w:r w:rsidRPr="00D73ADA">
              <w:t>92,8</w:t>
            </w:r>
          </w:p>
        </w:tc>
      </w:tr>
      <w:tr w:rsidR="00FA3DC1" w:rsidRPr="00D73ADA" w:rsidTr="008C77C5">
        <w:tc>
          <w:tcPr>
            <w:tcW w:w="550" w:type="dxa"/>
            <w:tcBorders>
              <w:top w:val="single" w:sz="4" w:space="0" w:color="auto"/>
              <w:left w:val="single" w:sz="4" w:space="0" w:color="auto"/>
              <w:bottom w:val="single" w:sz="4" w:space="0" w:color="auto"/>
              <w:right w:val="single" w:sz="4" w:space="0" w:color="auto"/>
            </w:tcBorders>
          </w:tcPr>
          <w:p w:rsidR="00FA3DC1" w:rsidRPr="00D73ADA" w:rsidRDefault="00FA3DC1" w:rsidP="00D73ADA">
            <w:pPr>
              <w:ind w:left="-851" w:right="-284" w:firstLine="284"/>
              <w:jc w:val="both"/>
            </w:pPr>
            <w:r w:rsidRPr="00D73ADA">
              <w:t>7</w:t>
            </w:r>
          </w:p>
        </w:tc>
        <w:tc>
          <w:tcPr>
            <w:tcW w:w="3878" w:type="dxa"/>
            <w:tcBorders>
              <w:top w:val="single" w:sz="4" w:space="0" w:color="auto"/>
              <w:left w:val="single" w:sz="4" w:space="0" w:color="auto"/>
              <w:bottom w:val="single" w:sz="4" w:space="0" w:color="auto"/>
              <w:right w:val="single" w:sz="4" w:space="0" w:color="auto"/>
            </w:tcBorders>
          </w:tcPr>
          <w:p w:rsidR="00FA3DC1" w:rsidRPr="00D73ADA" w:rsidRDefault="00FA3DC1" w:rsidP="00D73ADA">
            <w:pPr>
              <w:tabs>
                <w:tab w:val="left" w:pos="1335"/>
              </w:tabs>
              <w:ind w:left="-851" w:right="-284" w:firstLine="284"/>
              <w:jc w:val="both"/>
            </w:pPr>
            <w:r w:rsidRPr="00D73ADA">
              <w:t>Канализационные насосные станции</w:t>
            </w:r>
          </w:p>
        </w:tc>
        <w:tc>
          <w:tcPr>
            <w:tcW w:w="5142" w:type="dxa"/>
            <w:tcBorders>
              <w:left w:val="single" w:sz="4" w:space="0" w:color="auto"/>
              <w:right w:val="single" w:sz="4" w:space="0" w:color="auto"/>
            </w:tcBorders>
            <w:shd w:val="clear" w:color="auto" w:fill="auto"/>
          </w:tcPr>
          <w:p w:rsidR="00FA3DC1" w:rsidRPr="00D73ADA" w:rsidRDefault="00FA3DC1" w:rsidP="00D73ADA">
            <w:pPr>
              <w:ind w:left="-851" w:right="-284" w:firstLine="284"/>
              <w:jc w:val="both"/>
            </w:pPr>
            <w:r w:rsidRPr="00D73ADA">
              <w:t>67</w:t>
            </w:r>
          </w:p>
        </w:tc>
      </w:tr>
      <w:tr w:rsidR="00FA3DC1" w:rsidRPr="00D73ADA" w:rsidTr="008C77C5">
        <w:tc>
          <w:tcPr>
            <w:tcW w:w="550" w:type="dxa"/>
            <w:tcBorders>
              <w:top w:val="single" w:sz="4" w:space="0" w:color="auto"/>
              <w:left w:val="single" w:sz="4" w:space="0" w:color="auto"/>
              <w:bottom w:val="single" w:sz="4" w:space="0" w:color="auto"/>
              <w:right w:val="single" w:sz="4" w:space="0" w:color="auto"/>
            </w:tcBorders>
          </w:tcPr>
          <w:p w:rsidR="00FA3DC1" w:rsidRPr="00D73ADA" w:rsidRDefault="00FA3DC1" w:rsidP="00D73ADA">
            <w:pPr>
              <w:ind w:left="-851" w:right="-284" w:firstLine="284"/>
              <w:jc w:val="both"/>
            </w:pPr>
            <w:r w:rsidRPr="00D73ADA">
              <w:t>8</w:t>
            </w:r>
          </w:p>
        </w:tc>
        <w:tc>
          <w:tcPr>
            <w:tcW w:w="3878" w:type="dxa"/>
            <w:tcBorders>
              <w:top w:val="single" w:sz="4" w:space="0" w:color="auto"/>
              <w:left w:val="single" w:sz="4" w:space="0" w:color="auto"/>
              <w:bottom w:val="single" w:sz="4" w:space="0" w:color="auto"/>
              <w:right w:val="single" w:sz="4" w:space="0" w:color="auto"/>
            </w:tcBorders>
          </w:tcPr>
          <w:p w:rsidR="00FA3DC1" w:rsidRPr="00D73ADA" w:rsidRDefault="00FA3DC1" w:rsidP="00D73ADA">
            <w:pPr>
              <w:ind w:left="-851" w:right="-284" w:firstLine="284"/>
              <w:jc w:val="both"/>
            </w:pPr>
            <w:r w:rsidRPr="00D73ADA">
              <w:t>Жилищный фонд, кв</w:t>
            </w:r>
            <w:proofErr w:type="gramStart"/>
            <w:r w:rsidRPr="00D73ADA">
              <w:t>.м</w:t>
            </w:r>
            <w:proofErr w:type="gramEnd"/>
            <w:r w:rsidRPr="00D73ADA">
              <w:t xml:space="preserve">                                                 </w:t>
            </w:r>
          </w:p>
        </w:tc>
        <w:tc>
          <w:tcPr>
            <w:tcW w:w="5142" w:type="dxa"/>
            <w:tcBorders>
              <w:left w:val="single" w:sz="4" w:space="0" w:color="auto"/>
              <w:right w:val="single" w:sz="4" w:space="0" w:color="auto"/>
            </w:tcBorders>
            <w:shd w:val="clear" w:color="auto" w:fill="auto"/>
          </w:tcPr>
          <w:p w:rsidR="00FA3DC1" w:rsidRPr="00D73ADA" w:rsidRDefault="00FA3DC1" w:rsidP="00D73ADA">
            <w:pPr>
              <w:ind w:left="-851" w:right="-284" w:firstLine="284"/>
              <w:jc w:val="both"/>
            </w:pPr>
            <w:r w:rsidRPr="00D73ADA">
              <w:t>75,5</w:t>
            </w:r>
          </w:p>
        </w:tc>
      </w:tr>
    </w:tbl>
    <w:p w:rsidR="00FA3DC1" w:rsidRPr="00D73ADA" w:rsidRDefault="00FA3DC1" w:rsidP="00D73ADA">
      <w:pPr>
        <w:ind w:left="-851" w:right="-284" w:firstLine="284"/>
        <w:jc w:val="both"/>
      </w:pPr>
    </w:p>
    <w:p w:rsidR="00FA3DC1" w:rsidRPr="00D73ADA" w:rsidRDefault="00FA3DC1" w:rsidP="00D73ADA">
      <w:pPr>
        <w:ind w:left="-851" w:right="-284" w:firstLine="284"/>
        <w:jc w:val="both"/>
      </w:pPr>
      <w:r w:rsidRPr="00D73ADA">
        <w:t xml:space="preserve">      Полностью готовы  котельные в МО «Подюжское»,  в МО «Мирный», в МО «Тавреньгское», котельные школ. В МО «Ерцевское» из 2-х котельных готова одна котельная.   Процент готовности  муниципальных котельных фактически  гораздо выше.  Не показывает готовность котельных МО «Коношское», несмотря на то, что предприятием «Жилкомсервис» выполнен большой объем ремонтных работ. Капитально отремонтированы 2 котла в котельной «Вокзальная»,  произведена замена обмуровки котлов в котельной «Больничная», произведена ревизия насосного оборудования. </w:t>
      </w:r>
    </w:p>
    <w:p w:rsidR="00FA3DC1" w:rsidRPr="00D73ADA" w:rsidRDefault="00FA3DC1" w:rsidP="00D73ADA">
      <w:pPr>
        <w:ind w:left="-851" w:right="-284" w:firstLine="284"/>
        <w:jc w:val="both"/>
      </w:pPr>
      <w:r w:rsidRPr="00D73ADA">
        <w:t xml:space="preserve">        Предприятие МУП «Жилкомсервис» на закупку оборудования, на создание запаса МТР, на ремонтные работы израсходовали 2 млн. руб. собственных средств.  </w:t>
      </w:r>
    </w:p>
    <w:p w:rsidR="00FA3DC1" w:rsidRPr="00D73ADA" w:rsidRDefault="00FA3DC1" w:rsidP="00D73ADA">
      <w:pPr>
        <w:ind w:left="-851" w:right="-284" w:firstLine="284"/>
        <w:jc w:val="both"/>
      </w:pPr>
      <w:r w:rsidRPr="00D73ADA">
        <w:t xml:space="preserve">        В МО «Коношское»  у теплоснабжающей организации МУП «Жилкомсервис» отсутствует лицензия на эксплуатацию опасных производственных объектов. В течение этого отопительного сезона предприятие четырежды отправляло пакет документов каждый раз с устранением  вновь отмеченных  </w:t>
      </w:r>
      <w:proofErr w:type="spellStart"/>
      <w:r w:rsidRPr="00D73ADA">
        <w:t>Ростехнадзором</w:t>
      </w:r>
      <w:proofErr w:type="spellEnd"/>
      <w:r w:rsidRPr="00D73ADA">
        <w:t xml:space="preserve"> замечаний. На данный момент  документация принята. Дважды  </w:t>
      </w:r>
      <w:r w:rsidRPr="00D73ADA">
        <w:lastRenderedPageBreak/>
        <w:t xml:space="preserve">инспектором </w:t>
      </w:r>
      <w:proofErr w:type="spellStart"/>
      <w:r w:rsidRPr="00D73ADA">
        <w:t>Ростехнадзора</w:t>
      </w:r>
      <w:proofErr w:type="spellEnd"/>
      <w:r w:rsidRPr="00D73ADA">
        <w:t xml:space="preserve"> проверялась  котельная «Совхозная».  Все замечания, указанные в актах  устранены. Вновь проверка была 5.08.2014г.  Акт еще не получен. </w:t>
      </w:r>
    </w:p>
    <w:p w:rsidR="00FA3DC1" w:rsidRPr="00D73ADA" w:rsidRDefault="00FA3DC1" w:rsidP="00D73ADA">
      <w:pPr>
        <w:ind w:left="-851" w:right="-284" w:firstLine="284"/>
        <w:jc w:val="both"/>
      </w:pPr>
      <w:r w:rsidRPr="00D73ADA">
        <w:t xml:space="preserve">        Большую озабоченность вызывает ход подготовки к отопительному сезону 2014-2015г.  в МО «Волошское» (Глава Попов Ю.Б., директор МУП ЖКХ «Волошка» </w:t>
      </w:r>
      <w:proofErr w:type="spellStart"/>
      <w:r w:rsidRPr="00D73ADA">
        <w:t>Билева</w:t>
      </w:r>
      <w:proofErr w:type="spellEnd"/>
      <w:r w:rsidRPr="00D73ADA">
        <w:t xml:space="preserve"> Т.</w:t>
      </w:r>
      <w:proofErr w:type="gramStart"/>
      <w:r w:rsidRPr="00D73ADA">
        <w:t xml:space="preserve">Б.) </w:t>
      </w:r>
      <w:proofErr w:type="gramEnd"/>
      <w:r w:rsidRPr="00D73ADA">
        <w:t xml:space="preserve">  Котельная не подключена к электроэнергии, не заключен договор на электроснабжение, не утверждены тарифы на отопление,  не заключены договора на поставку топлива, предприятие находится в стадии банкротства.   </w:t>
      </w:r>
    </w:p>
    <w:p w:rsidR="00FA3DC1" w:rsidRPr="00D73ADA" w:rsidRDefault="00FA3DC1" w:rsidP="00D73ADA">
      <w:pPr>
        <w:ind w:left="-851" w:right="-284" w:firstLine="284"/>
        <w:jc w:val="both"/>
      </w:pPr>
      <w:r w:rsidRPr="00D73ADA">
        <w:t xml:space="preserve">        Из 6 муниципальных образований, где имеются объекты теплоснабжения, только муниципальное образование «Коношское» участвует в областной программе по модернизации и  капитальному ремонту объектов ТЭК и ЖКХ. Этим муниципальным образованием были выполнены все условия для включения  поселения в эту программу.  По этой программе на ремонт теплосетей по ул. Новолесная выделено 285 тыс. руб. из областного бюджета  и  из местного бюджета 75 тыс. руб. </w:t>
      </w:r>
    </w:p>
    <w:p w:rsidR="00FA3DC1" w:rsidRPr="00D73ADA" w:rsidRDefault="00FA3DC1" w:rsidP="00D73ADA">
      <w:pPr>
        <w:ind w:left="-851" w:right="-284" w:firstLine="284"/>
        <w:jc w:val="both"/>
      </w:pPr>
      <w:r w:rsidRPr="00D73ADA">
        <w:t xml:space="preserve">        </w:t>
      </w:r>
      <w:proofErr w:type="gramStart"/>
      <w:r w:rsidRPr="00D73ADA">
        <w:t>Министерством ТЭК и ЖКХ Архангельской области рассматривается заявка на выделение  средств в размере  7,83 млн. руб.  при условии софинансирования из местного бюджета  МО «Коношское»  3,35 млн. руб. на капитальный ремонт   3-его  котла в совхозной котельной и на выделение  средств в размере  2,073 млн. руб.  при условии софинансирования из местного бюджета 0,518 млн. руб. на капитальный ремонт  водопровода от водозабора «Совхозный</w:t>
      </w:r>
      <w:proofErr w:type="gramEnd"/>
      <w:r w:rsidRPr="00D73ADA">
        <w:t>» до котельной «Совхозная»</w:t>
      </w:r>
    </w:p>
    <w:p w:rsidR="00FA3DC1" w:rsidRPr="00D73ADA" w:rsidRDefault="00FA3DC1" w:rsidP="00D73ADA">
      <w:pPr>
        <w:ind w:left="-851" w:right="-284" w:firstLine="284"/>
        <w:jc w:val="both"/>
      </w:pPr>
      <w:r w:rsidRPr="00D73ADA">
        <w:t xml:space="preserve">         По причине отсутствия сре</w:t>
      </w:r>
      <w:proofErr w:type="gramStart"/>
      <w:r w:rsidRPr="00D73ADA">
        <w:t>дств в б</w:t>
      </w:r>
      <w:proofErr w:type="gramEnd"/>
      <w:r w:rsidRPr="00D73ADA">
        <w:t>юджетах муниципальных  образований не решаются вопросы:</w:t>
      </w:r>
    </w:p>
    <w:p w:rsidR="00FA3DC1" w:rsidRPr="00D73ADA" w:rsidRDefault="00FA3DC1" w:rsidP="00D73ADA">
      <w:pPr>
        <w:ind w:left="-851" w:right="-284" w:firstLine="284"/>
        <w:jc w:val="both"/>
      </w:pPr>
      <w:r w:rsidRPr="00D73ADA">
        <w:t>1. по оформлению технических паспортов на объекты ЖКХ и энергетики;</w:t>
      </w:r>
    </w:p>
    <w:p w:rsidR="00FA3DC1" w:rsidRPr="00D73ADA" w:rsidRDefault="00FA3DC1" w:rsidP="00D73ADA">
      <w:pPr>
        <w:ind w:left="-851" w:right="-284" w:firstLine="284"/>
        <w:jc w:val="both"/>
      </w:pPr>
      <w:r w:rsidRPr="00D73ADA">
        <w:t>2. по регистрации прав собственности на объекты ЖКХ и энергетики;</w:t>
      </w:r>
    </w:p>
    <w:p w:rsidR="00FA3DC1" w:rsidRPr="00D73ADA" w:rsidRDefault="00FA3DC1" w:rsidP="00D73ADA">
      <w:pPr>
        <w:ind w:left="-851" w:right="-284" w:firstLine="284"/>
        <w:jc w:val="both"/>
      </w:pPr>
      <w:r w:rsidRPr="00D73ADA">
        <w:t xml:space="preserve">3. медленно решаются вопросы по разработке схем теплоснабжения, водоснабжения и водоотведения. Схема теплоснабжения разработана и утверждена  только в МО «Коношское».                                                                      По этим причинам муниципальные образования не смогли участвовать в областной программе  по подготовке объектов энергетики  и ЖКХ  к отопительному сезону 2014-2015г.г. </w:t>
      </w:r>
    </w:p>
    <w:p w:rsidR="00FA3DC1" w:rsidRPr="00D73ADA" w:rsidRDefault="00FA3DC1" w:rsidP="00D73ADA">
      <w:pPr>
        <w:ind w:left="-851" w:right="-284" w:firstLine="284"/>
        <w:jc w:val="both"/>
      </w:pPr>
      <w:r w:rsidRPr="00D73ADA">
        <w:t xml:space="preserve">       Финансовое состояние теплоснабжающих организаций ухудшают постоянные </w:t>
      </w:r>
      <w:proofErr w:type="spellStart"/>
      <w:r w:rsidRPr="00D73ADA">
        <w:t>неплатежы</w:t>
      </w:r>
      <w:proofErr w:type="spellEnd"/>
      <w:r w:rsidRPr="00D73ADA">
        <w:t xml:space="preserve">  муниципальных учреждений культуры, администраций поселений  и долги населения </w:t>
      </w:r>
      <w:proofErr w:type="gramStart"/>
      <w:r w:rsidRPr="00D73ADA">
        <w:t>за</w:t>
      </w:r>
      <w:proofErr w:type="gramEnd"/>
      <w:r w:rsidRPr="00D73ADA">
        <w:t xml:space="preserve"> потребленные ЖКУ. Так  за отопление </w:t>
      </w:r>
      <w:proofErr w:type="spellStart"/>
      <w:r w:rsidRPr="00D73ADA">
        <w:t>подюжского</w:t>
      </w:r>
      <w:proofErr w:type="spellEnd"/>
      <w:r w:rsidRPr="00D73ADA">
        <w:t xml:space="preserve"> клуба, здания администрации долг перед МУП «</w:t>
      </w:r>
      <w:proofErr w:type="spellStart"/>
      <w:r w:rsidRPr="00D73ADA">
        <w:t>Теплосервис</w:t>
      </w:r>
      <w:proofErr w:type="spellEnd"/>
      <w:r w:rsidRPr="00D73ADA">
        <w:t xml:space="preserve">» составляет  более 1 млн. руб. </w:t>
      </w:r>
    </w:p>
    <w:p w:rsidR="00FA3DC1" w:rsidRPr="00D73ADA" w:rsidRDefault="00FA3DC1" w:rsidP="00D73ADA">
      <w:pPr>
        <w:ind w:left="-851" w:right="-284" w:firstLine="284"/>
        <w:jc w:val="both"/>
      </w:pPr>
      <w:r w:rsidRPr="00D73ADA">
        <w:t xml:space="preserve">      Запас топлива по информации,  предоставленной  муниципальными образованиями, по состоянию на 15.08.2014г. составляет: </w:t>
      </w:r>
    </w:p>
    <w:p w:rsidR="00FA3DC1" w:rsidRPr="00D73ADA" w:rsidRDefault="00FA3DC1" w:rsidP="00D73ADA">
      <w:pPr>
        <w:ind w:left="-851" w:right="-284" w:firstLine="284"/>
        <w:jc w:val="both"/>
      </w:pPr>
      <w:r w:rsidRPr="00D73ADA">
        <w:t>МО «Ерцевское» -                555 т   на 37 суток</w:t>
      </w:r>
      <w:proofErr w:type="gramStart"/>
      <w:r w:rsidRPr="00D73ADA">
        <w:t xml:space="preserve"> ,</w:t>
      </w:r>
      <w:proofErr w:type="gramEnd"/>
    </w:p>
    <w:p w:rsidR="00FA3DC1" w:rsidRPr="00D73ADA" w:rsidRDefault="00FA3DC1" w:rsidP="00D73ADA">
      <w:pPr>
        <w:ind w:left="-851" w:right="-284" w:firstLine="284"/>
        <w:jc w:val="both"/>
      </w:pPr>
      <w:r w:rsidRPr="00D73ADA">
        <w:t>МО «Мирный» -                   94    куб</w:t>
      </w:r>
      <w:proofErr w:type="gramStart"/>
      <w:r w:rsidRPr="00D73ADA">
        <w:t>.м</w:t>
      </w:r>
      <w:proofErr w:type="gramEnd"/>
      <w:r w:rsidRPr="00D73ADA">
        <w:t xml:space="preserve">  на  50   суток , </w:t>
      </w:r>
    </w:p>
    <w:p w:rsidR="00FA3DC1" w:rsidRPr="00D73ADA" w:rsidRDefault="00FA3DC1" w:rsidP="00D73ADA">
      <w:pPr>
        <w:ind w:left="-851" w:right="-284" w:firstLine="284"/>
        <w:jc w:val="both"/>
      </w:pPr>
      <w:r w:rsidRPr="00D73ADA">
        <w:t>МО «Подюжское»-               50  куб</w:t>
      </w:r>
      <w:proofErr w:type="gramStart"/>
      <w:r w:rsidRPr="00D73ADA">
        <w:t>.м</w:t>
      </w:r>
      <w:proofErr w:type="gramEnd"/>
      <w:r w:rsidRPr="00D73ADA">
        <w:t xml:space="preserve">  на 7  суток, </w:t>
      </w:r>
    </w:p>
    <w:p w:rsidR="00FA3DC1" w:rsidRPr="00D73ADA" w:rsidRDefault="00FA3DC1" w:rsidP="00D73ADA">
      <w:pPr>
        <w:ind w:left="-851" w:right="-284" w:firstLine="284"/>
        <w:jc w:val="both"/>
      </w:pPr>
      <w:r w:rsidRPr="00D73ADA">
        <w:t>МО «Тавреньгское» -           40    куб</w:t>
      </w:r>
      <w:proofErr w:type="gramStart"/>
      <w:r w:rsidRPr="00D73ADA">
        <w:t>.м</w:t>
      </w:r>
      <w:proofErr w:type="gramEnd"/>
      <w:r w:rsidRPr="00D73ADA">
        <w:t xml:space="preserve">  на11   суток,  </w:t>
      </w:r>
    </w:p>
    <w:p w:rsidR="00FA3DC1" w:rsidRPr="00D73ADA" w:rsidRDefault="00FA3DC1" w:rsidP="00D73ADA">
      <w:pPr>
        <w:ind w:left="-851" w:right="-284" w:firstLine="284"/>
        <w:jc w:val="both"/>
      </w:pPr>
      <w:r w:rsidRPr="00D73ADA">
        <w:t>МО «Волошское» -              30    куб</w:t>
      </w:r>
      <w:proofErr w:type="gramStart"/>
      <w:r w:rsidRPr="00D73ADA">
        <w:t>.м</w:t>
      </w:r>
      <w:proofErr w:type="gramEnd"/>
      <w:r w:rsidRPr="00D73ADA">
        <w:t xml:space="preserve"> на  6 суток.</w:t>
      </w:r>
    </w:p>
    <w:p w:rsidR="00FA3DC1" w:rsidRPr="00D73ADA" w:rsidRDefault="00FA3DC1" w:rsidP="00D73ADA">
      <w:pPr>
        <w:ind w:left="-851" w:right="-284" w:firstLine="284"/>
        <w:jc w:val="both"/>
      </w:pPr>
      <w:r w:rsidRPr="00D73ADA">
        <w:t>В МО «Коношское» договор на поставку угля заключен с ООО «</w:t>
      </w:r>
      <w:proofErr w:type="spellStart"/>
      <w:r w:rsidRPr="00D73ADA">
        <w:t>Промпродукт</w:t>
      </w:r>
      <w:proofErr w:type="spellEnd"/>
      <w:r w:rsidRPr="00D73ADA">
        <w:t xml:space="preserve">», поставка планируется с 15.08.2014г. в количестве 4000 т.       </w:t>
      </w:r>
    </w:p>
    <w:p w:rsidR="00FA3DC1" w:rsidRPr="00D73ADA" w:rsidRDefault="00FA3DC1" w:rsidP="00D73ADA">
      <w:pPr>
        <w:ind w:left="-851" w:right="-284" w:firstLine="284"/>
        <w:jc w:val="both"/>
      </w:pPr>
      <w:r w:rsidRPr="00D73ADA">
        <w:t xml:space="preserve">        </w:t>
      </w:r>
      <w:proofErr w:type="gramStart"/>
      <w:r w:rsidRPr="00D73ADA">
        <w:t xml:space="preserve">В текущем году все организации жилищно-коммунального хозяйства  и энергетики регулярно производят расчеты за потребленные топливно-энергетические ресурсы и не имеют долгов перед </w:t>
      </w:r>
      <w:proofErr w:type="spellStart"/>
      <w:r w:rsidRPr="00D73ADA">
        <w:t>ресурсоснабжающими</w:t>
      </w:r>
      <w:proofErr w:type="spellEnd"/>
      <w:r w:rsidRPr="00D73ADA">
        <w:t xml:space="preserve"> организациями, кроме ООО «Ресурсснаб», долг которого перед ОАО «</w:t>
      </w:r>
      <w:proofErr w:type="spellStart"/>
      <w:r w:rsidRPr="00D73ADA">
        <w:t>Архэнергосбыт</w:t>
      </w:r>
      <w:proofErr w:type="spellEnd"/>
      <w:r w:rsidRPr="00D73ADA">
        <w:t>» за потребленную энергию по состоянию на 07.08.2014г составляет 2,1 млн. рублей,  МУП «Волошка» - долг 172,2 тыс. руб. Данным организациям с 18.08.2014. вводится ограничение режима потребления электроэнергии  в размере</w:t>
      </w:r>
      <w:proofErr w:type="gramEnd"/>
      <w:r w:rsidRPr="00D73ADA">
        <w:t xml:space="preserve"> 50% .  Оба предприятия находятся в стадии банкротства по инициативе ОАО «</w:t>
      </w:r>
      <w:proofErr w:type="spellStart"/>
      <w:r w:rsidRPr="00D73ADA">
        <w:t>Архэнергосбыт</w:t>
      </w:r>
      <w:proofErr w:type="spellEnd"/>
      <w:r w:rsidRPr="00D73ADA">
        <w:t>».</w:t>
      </w:r>
    </w:p>
    <w:p w:rsidR="00FA3DC1" w:rsidRPr="00D73ADA" w:rsidRDefault="00FA3DC1" w:rsidP="00D73ADA">
      <w:pPr>
        <w:ind w:left="-851" w:right="-284" w:firstLine="284"/>
        <w:jc w:val="both"/>
      </w:pPr>
      <w:r w:rsidRPr="00D73ADA">
        <w:t xml:space="preserve">        Проверка готовности жилищного фонда  поселений к эксплуатации в осенне-зимний период 2014-2015г  произведена государственной жилищной инспекцией  Архангельской области 12.08.2014г.  На момент проверки не предоставили документацию, подтверждающую ход подготовки жилищного фонда, МО «Подюжское», МО «Климовское».   По данным поселениям информация будет отправлена  почтой. Своевременно и качественную информацию о ходе подготовки </w:t>
      </w:r>
      <w:r w:rsidRPr="00D73ADA">
        <w:lastRenderedPageBreak/>
        <w:t xml:space="preserve">жилищного фонда предоставили  МО «Мирный», МО «Тавреньгское», МО «Волошское». Акт проверки  готовности жилищного фонда еще не получен.  </w:t>
      </w:r>
    </w:p>
    <w:p w:rsidR="00FA3DC1" w:rsidRPr="00D73ADA" w:rsidRDefault="00FA3DC1" w:rsidP="00D73ADA">
      <w:pPr>
        <w:ind w:left="-851" w:right="-284" w:firstLine="284"/>
        <w:jc w:val="both"/>
      </w:pPr>
      <w:r w:rsidRPr="00D73ADA">
        <w:t xml:space="preserve">       Проверка готовности теплоснабжающих организаций, оформление актов готовности котельных, паспортов готовности теплоснабжающим организациям является обязанностью  поселений.   Проверка поселений будет проводиться комиссией, назначенной управлением </w:t>
      </w:r>
      <w:proofErr w:type="spellStart"/>
      <w:r w:rsidRPr="00D73ADA">
        <w:t>Ростехнадзора</w:t>
      </w:r>
      <w:proofErr w:type="spellEnd"/>
      <w:r w:rsidRPr="00D73ADA">
        <w:t>, не позднее 1 октября 2014г.  по утвержденной программе, в соответствии с которой поселения готовят документацию, подтверждающую выполнение  поселением требований  Правил и Методических рекомендаций по подготовке к зиме. Кроме того, поселениями должна быть  в полном объеме заполнена Автоматизированная  информационная система «Отопительный период муниципальных образований».  При получении паспортов готовности поселениями выдается паспорт готовности МО «Коношский муниципальный район».</w:t>
      </w:r>
    </w:p>
    <w:p w:rsidR="00FA3DC1" w:rsidRPr="00D73ADA" w:rsidRDefault="00FA3DC1" w:rsidP="00D73ADA">
      <w:pPr>
        <w:ind w:left="-851" w:right="-284" w:firstLine="284"/>
        <w:jc w:val="both"/>
      </w:pPr>
    </w:p>
    <w:p w:rsidR="00FA3DC1" w:rsidRPr="00D73ADA" w:rsidRDefault="00FA3DC1" w:rsidP="00D73ADA">
      <w:pPr>
        <w:ind w:left="-851" w:right="-284" w:firstLine="284"/>
        <w:jc w:val="both"/>
      </w:pPr>
      <w:r w:rsidRPr="00D73ADA">
        <w:t xml:space="preserve">Подготовила </w:t>
      </w:r>
      <w:proofErr w:type="spellStart"/>
      <w:r w:rsidRPr="00D73ADA">
        <w:t>В.Н.Деревянко</w:t>
      </w:r>
      <w:proofErr w:type="spellEnd"/>
      <w:r w:rsidRPr="00D73ADA">
        <w:t>, тел. 2-29-73.</w:t>
      </w:r>
    </w:p>
    <w:p w:rsidR="00F3367C" w:rsidRDefault="00F3367C"/>
    <w:sectPr w:rsidR="00F3367C" w:rsidSect="00F336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E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3DC1"/>
    <w:rsid w:val="0002681D"/>
    <w:rsid w:val="008D099D"/>
    <w:rsid w:val="00D73ADA"/>
    <w:rsid w:val="00F3367C"/>
    <w:rsid w:val="00FA3D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DC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A3D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Знак1"/>
    <w:basedOn w:val="a"/>
    <w:rsid w:val="00FA3DC1"/>
    <w:pPr>
      <w:spacing w:after="160" w:line="240" w:lineRule="exact"/>
      <w:jc w:val="both"/>
    </w:pPr>
    <w:rPr>
      <w:rFonts w:ascii="Verdana" w:hAnsi="Verdana" w:cs="Arial"/>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1242</Words>
  <Characters>7084</Characters>
  <Application>Microsoft Office Word</Application>
  <DocSecurity>0</DocSecurity>
  <Lines>59</Lines>
  <Paragraphs>16</Paragraphs>
  <ScaleCrop>false</ScaleCrop>
  <Company>Microsoft</Company>
  <LinksUpToDate>false</LinksUpToDate>
  <CharactersWithSpaces>8310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Polzovatel</dc:creator>
  <cp:keywords/>
  <dc:description/>
  <cp:lastModifiedBy>Polzovatel</cp:lastModifiedBy>
  <cp:revision>4</cp:revision>
  <cp:lastPrinted>2014-08-18T10:33:00Z</cp:lastPrinted>
  <dcterms:created xsi:type="dcterms:W3CDTF">2014-08-18T05:32:00Z</dcterms:created>
  <dcterms:modified xsi:type="dcterms:W3CDTF">2014-08-18T10:38:00Z</dcterms:modified>
</cp:coreProperties>
</file>