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F23" w:rsidRDefault="00CB5F23" w:rsidP="00CB5F23">
      <w:pPr>
        <w:ind w:left="4820"/>
        <w:jc w:val="center"/>
        <w:rPr>
          <w:bCs/>
          <w:sz w:val="26"/>
          <w:szCs w:val="26"/>
        </w:rPr>
      </w:pPr>
      <w:r w:rsidRPr="00CB5F23">
        <w:rPr>
          <w:bCs/>
          <w:sz w:val="26"/>
          <w:szCs w:val="26"/>
        </w:rPr>
        <w:t>УТВЕРЖДЕН</w:t>
      </w:r>
    </w:p>
    <w:p w:rsidR="00CB5F23" w:rsidRDefault="00CB5F23" w:rsidP="00CB5F23">
      <w:pPr>
        <w:ind w:left="4820"/>
        <w:jc w:val="center"/>
        <w:rPr>
          <w:bCs/>
          <w:sz w:val="26"/>
          <w:szCs w:val="26"/>
        </w:rPr>
      </w:pPr>
      <w:r>
        <w:rPr>
          <w:bCs/>
          <w:sz w:val="26"/>
          <w:szCs w:val="26"/>
        </w:rPr>
        <w:t>постановлением администрации</w:t>
      </w:r>
    </w:p>
    <w:p w:rsidR="00CB5F23" w:rsidRDefault="00CB5F23" w:rsidP="00CB5F23">
      <w:pPr>
        <w:ind w:left="4820"/>
        <w:jc w:val="center"/>
        <w:rPr>
          <w:bCs/>
          <w:sz w:val="26"/>
          <w:szCs w:val="26"/>
        </w:rPr>
      </w:pPr>
      <w:r>
        <w:rPr>
          <w:bCs/>
          <w:sz w:val="26"/>
          <w:szCs w:val="26"/>
        </w:rPr>
        <w:t>муниципального образования</w:t>
      </w:r>
    </w:p>
    <w:p w:rsidR="00CB5F23" w:rsidRDefault="00CB5F23" w:rsidP="00CB5F23">
      <w:pPr>
        <w:ind w:left="4820"/>
        <w:jc w:val="center"/>
        <w:rPr>
          <w:bCs/>
          <w:sz w:val="26"/>
          <w:szCs w:val="26"/>
        </w:rPr>
      </w:pPr>
      <w:r>
        <w:rPr>
          <w:bCs/>
          <w:sz w:val="26"/>
          <w:szCs w:val="26"/>
        </w:rPr>
        <w:t>«Коношский муниципальный район»</w:t>
      </w:r>
    </w:p>
    <w:p w:rsidR="00CB5F23" w:rsidRPr="00CB5F23" w:rsidRDefault="00CB5F23" w:rsidP="00CB5F23">
      <w:pPr>
        <w:ind w:left="4820"/>
        <w:jc w:val="center"/>
        <w:rPr>
          <w:bCs/>
          <w:sz w:val="26"/>
          <w:szCs w:val="26"/>
        </w:rPr>
      </w:pPr>
      <w:r>
        <w:rPr>
          <w:bCs/>
          <w:sz w:val="26"/>
          <w:szCs w:val="26"/>
        </w:rPr>
        <w:t xml:space="preserve">от </w:t>
      </w:r>
      <w:r w:rsidR="00EC479C">
        <w:rPr>
          <w:bCs/>
          <w:sz w:val="26"/>
          <w:szCs w:val="26"/>
        </w:rPr>
        <w:t>02</w:t>
      </w:r>
      <w:r>
        <w:rPr>
          <w:bCs/>
          <w:sz w:val="26"/>
          <w:szCs w:val="26"/>
        </w:rPr>
        <w:t xml:space="preserve"> октября 2019 г. № </w:t>
      </w:r>
      <w:r w:rsidR="00EC479C">
        <w:rPr>
          <w:bCs/>
          <w:sz w:val="26"/>
          <w:szCs w:val="26"/>
        </w:rPr>
        <w:t>587</w:t>
      </w:r>
    </w:p>
    <w:p w:rsidR="00CB5F23" w:rsidRDefault="00CB5F23" w:rsidP="007D708F">
      <w:pPr>
        <w:jc w:val="center"/>
        <w:rPr>
          <w:b/>
          <w:sz w:val="26"/>
          <w:szCs w:val="26"/>
        </w:rPr>
      </w:pPr>
    </w:p>
    <w:p w:rsidR="00CB5F23" w:rsidRDefault="00CB5F23" w:rsidP="007D708F">
      <w:pPr>
        <w:jc w:val="center"/>
        <w:rPr>
          <w:b/>
          <w:sz w:val="26"/>
          <w:szCs w:val="26"/>
        </w:rPr>
      </w:pPr>
    </w:p>
    <w:p w:rsidR="00CB5F23" w:rsidRDefault="00CB5F23" w:rsidP="007D708F">
      <w:pPr>
        <w:jc w:val="center"/>
        <w:rPr>
          <w:b/>
          <w:sz w:val="26"/>
          <w:szCs w:val="26"/>
        </w:rPr>
      </w:pPr>
    </w:p>
    <w:p w:rsidR="007D708F" w:rsidRDefault="007D708F" w:rsidP="007D708F">
      <w:pPr>
        <w:jc w:val="center"/>
        <w:rPr>
          <w:b/>
          <w:sz w:val="26"/>
          <w:szCs w:val="26"/>
        </w:rPr>
      </w:pPr>
      <w:r>
        <w:rPr>
          <w:b/>
          <w:sz w:val="26"/>
          <w:szCs w:val="26"/>
        </w:rPr>
        <w:t>П А С П О Р Т</w:t>
      </w:r>
    </w:p>
    <w:p w:rsidR="007D708F" w:rsidRDefault="007D708F" w:rsidP="007D708F">
      <w:pPr>
        <w:jc w:val="center"/>
        <w:rPr>
          <w:b/>
          <w:sz w:val="26"/>
          <w:szCs w:val="26"/>
        </w:rPr>
      </w:pPr>
      <w:r>
        <w:rPr>
          <w:b/>
          <w:sz w:val="26"/>
          <w:szCs w:val="26"/>
        </w:rPr>
        <w:t>муниципальной программы</w:t>
      </w:r>
    </w:p>
    <w:p w:rsidR="00EC479C" w:rsidRDefault="007D708F" w:rsidP="007D708F">
      <w:pPr>
        <w:jc w:val="center"/>
        <w:rPr>
          <w:b/>
          <w:sz w:val="26"/>
          <w:szCs w:val="26"/>
        </w:rPr>
      </w:pPr>
      <w:r w:rsidRPr="00EC479C">
        <w:rPr>
          <w:b/>
          <w:sz w:val="26"/>
          <w:szCs w:val="26"/>
        </w:rPr>
        <w:t xml:space="preserve">«Организация отдыха и оздоровления детей </w:t>
      </w:r>
    </w:p>
    <w:p w:rsidR="00EC479C" w:rsidRDefault="007D708F" w:rsidP="00EC479C">
      <w:pPr>
        <w:jc w:val="center"/>
        <w:rPr>
          <w:b/>
          <w:sz w:val="26"/>
          <w:szCs w:val="26"/>
        </w:rPr>
      </w:pPr>
      <w:r w:rsidRPr="00EC479C">
        <w:rPr>
          <w:b/>
          <w:sz w:val="26"/>
          <w:szCs w:val="26"/>
        </w:rPr>
        <w:t xml:space="preserve">в муниципальном образовании «Коношский муниципальный район» </w:t>
      </w:r>
    </w:p>
    <w:p w:rsidR="007D708F" w:rsidRPr="00EC479C" w:rsidRDefault="007D708F" w:rsidP="00EC479C">
      <w:pPr>
        <w:jc w:val="center"/>
        <w:rPr>
          <w:b/>
          <w:sz w:val="26"/>
          <w:szCs w:val="26"/>
        </w:rPr>
      </w:pPr>
      <w:r w:rsidRPr="00EC479C">
        <w:rPr>
          <w:b/>
          <w:sz w:val="26"/>
          <w:szCs w:val="26"/>
        </w:rPr>
        <w:t>на 2020 год»</w:t>
      </w:r>
    </w:p>
    <w:p w:rsidR="007D708F" w:rsidRDefault="007D708F" w:rsidP="007D708F">
      <w:pPr>
        <w:pStyle w:val="ConsPlusNormal"/>
        <w:widowControl/>
        <w:ind w:firstLine="0"/>
        <w:jc w:val="center"/>
        <w:rPr>
          <w:rFonts w:ascii="Times New Roman" w:hAnsi="Times New Roman" w:cs="Times New Roman"/>
          <w:sz w:val="26"/>
          <w:szCs w:val="26"/>
        </w:rPr>
      </w:pPr>
    </w:p>
    <w:tbl>
      <w:tblPr>
        <w:tblW w:w="9765" w:type="dxa"/>
        <w:jc w:val="center"/>
        <w:tblLayout w:type="fixed"/>
        <w:tblCellMar>
          <w:left w:w="70" w:type="dxa"/>
          <w:right w:w="70" w:type="dxa"/>
        </w:tblCellMar>
        <w:tblLook w:val="04A0"/>
      </w:tblPr>
      <w:tblGrid>
        <w:gridCol w:w="4466"/>
        <w:gridCol w:w="5299"/>
      </w:tblGrid>
      <w:tr w:rsidR="007D708F" w:rsidTr="00CB5F23">
        <w:trPr>
          <w:trHeight w:val="24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Наименование органа исполнительной власти МО «Коношский муниципальный район»</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Администрация муниципального образования «Коношский муниципальный район»</w:t>
            </w:r>
          </w:p>
        </w:tc>
      </w:tr>
      <w:tr w:rsidR="007D708F" w:rsidTr="00CB5F23">
        <w:trPr>
          <w:trHeight w:val="24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Наименование программы</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rPr>
                <w:sz w:val="26"/>
                <w:szCs w:val="26"/>
              </w:rPr>
            </w:pPr>
            <w:r>
              <w:rPr>
                <w:sz w:val="26"/>
                <w:szCs w:val="26"/>
              </w:rPr>
              <w:t xml:space="preserve">Муниципальная программа «Организация отдыха и оздоровления детей в муниципальном образовании «Коношский муниципальный район» на 2020 год» </w:t>
            </w:r>
          </w:p>
        </w:tc>
      </w:tr>
      <w:tr w:rsidR="007D708F" w:rsidTr="00CB5F23">
        <w:trPr>
          <w:trHeight w:val="24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Дата и номер постановления, которым утверждена программа</w:t>
            </w:r>
          </w:p>
        </w:tc>
        <w:tc>
          <w:tcPr>
            <w:tcW w:w="5299" w:type="dxa"/>
            <w:tcBorders>
              <w:top w:val="single" w:sz="6" w:space="0" w:color="auto"/>
              <w:left w:val="single" w:sz="6" w:space="0" w:color="auto"/>
              <w:bottom w:val="single" w:sz="6" w:space="0" w:color="auto"/>
              <w:right w:val="single" w:sz="6" w:space="0" w:color="auto"/>
            </w:tcBorders>
          </w:tcPr>
          <w:p w:rsidR="007D708F" w:rsidRDefault="007D708F">
            <w:pPr>
              <w:pStyle w:val="ConsPlusNormal"/>
              <w:widowControl/>
              <w:ind w:firstLine="0"/>
              <w:rPr>
                <w:rFonts w:ascii="Times New Roman" w:hAnsi="Times New Roman" w:cs="Times New Roman"/>
                <w:sz w:val="26"/>
                <w:szCs w:val="26"/>
              </w:rPr>
            </w:pPr>
          </w:p>
        </w:tc>
      </w:tr>
      <w:tr w:rsidR="007D708F" w:rsidTr="00CB5F23">
        <w:trPr>
          <w:trHeight w:val="24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Наименование разработчика программы</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rPr>
                <w:sz w:val="26"/>
                <w:szCs w:val="26"/>
              </w:rPr>
            </w:pPr>
            <w:r>
              <w:rPr>
                <w:sz w:val="26"/>
                <w:szCs w:val="26"/>
              </w:rPr>
              <w:t>Управление образования администрации муниципального образования «Коношский муниципальный район»</w:t>
            </w:r>
          </w:p>
        </w:tc>
      </w:tr>
      <w:tr w:rsidR="007D708F" w:rsidTr="00CB5F23">
        <w:trPr>
          <w:trHeight w:val="24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Цель программы</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Обеспечение отдыха и оздоровления детей в каникулярный период</w:t>
            </w:r>
          </w:p>
        </w:tc>
      </w:tr>
      <w:tr w:rsidR="007D708F" w:rsidTr="00CB5F23">
        <w:trPr>
          <w:trHeight w:val="24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Задачи программы</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bCs/>
                <w:sz w:val="26"/>
                <w:szCs w:val="26"/>
              </w:rPr>
              <w:t>Увеличение охвата детей всеми видами организованного отдыха и оздоровления</w:t>
            </w:r>
          </w:p>
        </w:tc>
      </w:tr>
      <w:tr w:rsidR="007D708F" w:rsidTr="00CB5F23">
        <w:trPr>
          <w:trHeight w:val="24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Сроки реализации программы</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2020 год</w:t>
            </w:r>
          </w:p>
        </w:tc>
      </w:tr>
      <w:tr w:rsidR="007D708F" w:rsidTr="00CB5F23">
        <w:trPr>
          <w:trHeight w:val="36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Перечень основных мероприятий программы (подпрограмм)</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 xml:space="preserve">1. Мероприятия по проведению оздоровительной кампании детей (оплата стоимости путевок и проезда к месту отдыха и оздоровления детей) </w:t>
            </w:r>
          </w:p>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2. Осуществление государственных полномочий по финансовому обеспечению оплаты набора продуктов питания в оздоровительных лагерях с дневным пребыванием детей</w:t>
            </w:r>
          </w:p>
        </w:tc>
      </w:tr>
      <w:tr w:rsidR="007D708F" w:rsidTr="00CB5F23">
        <w:trPr>
          <w:trHeight w:val="36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Объемы и источники финансирования программы</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Общий объем финансирования муниципальной программы составляет 300,0 тыс. рублей, в том числе:</w:t>
            </w:r>
          </w:p>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средства районного бюджета – 300,0 тыс. рублей</w:t>
            </w:r>
          </w:p>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средства областного бюджета – 0 тыс. рублей</w:t>
            </w:r>
          </w:p>
        </w:tc>
      </w:tr>
    </w:tbl>
    <w:p w:rsidR="00CB5F23" w:rsidRDefault="00CB5F23">
      <w:r>
        <w:br w:type="page"/>
      </w:r>
    </w:p>
    <w:tbl>
      <w:tblPr>
        <w:tblW w:w="9765" w:type="dxa"/>
        <w:jc w:val="center"/>
        <w:tblLayout w:type="fixed"/>
        <w:tblCellMar>
          <w:left w:w="70" w:type="dxa"/>
          <w:right w:w="70" w:type="dxa"/>
        </w:tblCellMar>
        <w:tblLook w:val="04A0"/>
      </w:tblPr>
      <w:tblGrid>
        <w:gridCol w:w="4466"/>
        <w:gridCol w:w="5299"/>
      </w:tblGrid>
      <w:tr w:rsidR="007D708F" w:rsidTr="00CB5F23">
        <w:trPr>
          <w:trHeight w:val="360"/>
          <w:jc w:val="center"/>
        </w:trPr>
        <w:tc>
          <w:tcPr>
            <w:tcW w:w="4466" w:type="dxa"/>
            <w:tcBorders>
              <w:top w:val="single" w:sz="6" w:space="0" w:color="auto"/>
              <w:left w:val="single" w:sz="6" w:space="0" w:color="auto"/>
              <w:bottom w:val="single" w:sz="6" w:space="0" w:color="auto"/>
              <w:right w:val="single" w:sz="6" w:space="0" w:color="auto"/>
            </w:tcBorders>
            <w:hideMark/>
          </w:tcPr>
          <w:p w:rsidR="007D708F" w:rsidRDefault="007D708F">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lastRenderedPageBreak/>
              <w:t>Ожидаемые конечные результаты реализации программы</w:t>
            </w:r>
          </w:p>
        </w:tc>
        <w:tc>
          <w:tcPr>
            <w:tcW w:w="5299" w:type="dxa"/>
            <w:tcBorders>
              <w:top w:val="single" w:sz="6" w:space="0" w:color="auto"/>
              <w:left w:val="single" w:sz="6" w:space="0" w:color="auto"/>
              <w:bottom w:val="single" w:sz="6" w:space="0" w:color="auto"/>
              <w:right w:val="single" w:sz="6" w:space="0" w:color="auto"/>
            </w:tcBorders>
            <w:hideMark/>
          </w:tcPr>
          <w:p w:rsidR="007D708F" w:rsidRDefault="007D708F">
            <w:pPr>
              <w:autoSpaceDE w:val="0"/>
              <w:autoSpaceDN w:val="0"/>
              <w:adjustRightInd w:val="0"/>
              <w:rPr>
                <w:sz w:val="26"/>
                <w:szCs w:val="26"/>
              </w:rPr>
            </w:pPr>
            <w:r>
              <w:rPr>
                <w:sz w:val="26"/>
                <w:szCs w:val="26"/>
              </w:rPr>
              <w:t>1. Сохранение сети организаций отдыха детей и их оздоровления с дневным пребыванием на базе муниципальных общеобразовательных организаций и дошкольных образовательных организаций района.</w:t>
            </w:r>
          </w:p>
          <w:p w:rsidR="007D708F" w:rsidRDefault="007D708F">
            <w:pPr>
              <w:autoSpaceDE w:val="0"/>
              <w:autoSpaceDN w:val="0"/>
              <w:adjustRightInd w:val="0"/>
              <w:rPr>
                <w:sz w:val="26"/>
                <w:szCs w:val="26"/>
              </w:rPr>
            </w:pPr>
            <w:r>
              <w:rPr>
                <w:sz w:val="26"/>
                <w:szCs w:val="26"/>
              </w:rPr>
              <w:t>2. Увеличение охвата детей и подростков, в том числе  находящихся в трудной жизненной ситуации, организованными формами отдыха и оздоровления.</w:t>
            </w:r>
          </w:p>
        </w:tc>
      </w:tr>
    </w:tbl>
    <w:p w:rsidR="007D708F" w:rsidRDefault="007D708F" w:rsidP="007D708F">
      <w:pPr>
        <w:jc w:val="center"/>
        <w:rPr>
          <w:b/>
          <w:sz w:val="26"/>
          <w:szCs w:val="26"/>
        </w:rPr>
      </w:pPr>
    </w:p>
    <w:p w:rsidR="007D708F" w:rsidRDefault="007D708F" w:rsidP="007D708F">
      <w:pPr>
        <w:jc w:val="center"/>
        <w:rPr>
          <w:sz w:val="26"/>
          <w:szCs w:val="26"/>
        </w:rPr>
      </w:pPr>
      <w:r>
        <w:rPr>
          <w:b/>
          <w:sz w:val="26"/>
          <w:szCs w:val="26"/>
          <w:lang w:val="en-US"/>
        </w:rPr>
        <w:t>I</w:t>
      </w:r>
      <w:r>
        <w:rPr>
          <w:b/>
          <w:sz w:val="26"/>
          <w:szCs w:val="26"/>
        </w:rPr>
        <w:t>. Общая характеристика сферы реализации муниципальной программы</w:t>
      </w:r>
    </w:p>
    <w:p w:rsidR="007D708F" w:rsidRDefault="007D708F" w:rsidP="007D708F">
      <w:pPr>
        <w:jc w:val="center"/>
        <w:rPr>
          <w:sz w:val="26"/>
          <w:szCs w:val="26"/>
        </w:rPr>
      </w:pPr>
    </w:p>
    <w:p w:rsidR="007D708F" w:rsidRDefault="007D708F" w:rsidP="007D708F">
      <w:pPr>
        <w:ind w:firstLine="720"/>
        <w:jc w:val="both"/>
        <w:rPr>
          <w:sz w:val="26"/>
          <w:szCs w:val="26"/>
        </w:rPr>
      </w:pPr>
      <w:r>
        <w:rPr>
          <w:sz w:val="26"/>
          <w:szCs w:val="26"/>
        </w:rPr>
        <w:t>Организация отдыха, оздоровления и занятости детей и подростков – одно из приоритетных направлений государственной социальной политики, проводимой по обеспечению защиты прав и законных интересов детей и подростков.</w:t>
      </w:r>
    </w:p>
    <w:p w:rsidR="007D708F" w:rsidRDefault="007D708F" w:rsidP="007D708F">
      <w:pPr>
        <w:ind w:firstLine="720"/>
        <w:jc w:val="both"/>
        <w:rPr>
          <w:sz w:val="26"/>
          <w:szCs w:val="26"/>
        </w:rPr>
      </w:pPr>
      <w:r>
        <w:rPr>
          <w:sz w:val="26"/>
          <w:szCs w:val="26"/>
        </w:rPr>
        <w:t>Организация отдыха, оздоровления и занятости детей и подростков очень важная составляющая социального благополучия населения.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rsidR="007D708F" w:rsidRDefault="007D708F" w:rsidP="007D708F">
      <w:pPr>
        <w:pStyle w:val="a3"/>
        <w:shd w:val="clear" w:color="auto" w:fill="FFFFFF"/>
        <w:spacing w:before="0" w:beforeAutospacing="0" w:after="0" w:afterAutospacing="0"/>
        <w:ind w:firstLine="720"/>
        <w:jc w:val="both"/>
        <w:rPr>
          <w:sz w:val="26"/>
          <w:szCs w:val="26"/>
        </w:rPr>
      </w:pPr>
      <w:r>
        <w:rPr>
          <w:sz w:val="26"/>
          <w:szCs w:val="26"/>
        </w:rPr>
        <w:t>В течение последних лет в районе создана система организации отдыха и оздоровления детей и подростков в период школьных каникул. Созданию системы способствовала деятельность межведомственной комиссии по организации отдыха и оздоровления детей в каникулярный период, объединение усилий различных учреждений и ведомств. Основная задача деятельности – организация отдыха таким образом, чтобы он соответствовал ожиданиям ребенка, его потребностям во время долгожданных каникул, обеспечение максимального охвата детей и подростков организованными формами отдыха.</w:t>
      </w:r>
    </w:p>
    <w:p w:rsidR="007D708F" w:rsidRDefault="007D708F" w:rsidP="007D708F">
      <w:pPr>
        <w:ind w:firstLine="720"/>
        <w:jc w:val="both"/>
        <w:rPr>
          <w:sz w:val="26"/>
          <w:szCs w:val="26"/>
        </w:rPr>
      </w:pPr>
      <w:r>
        <w:rPr>
          <w:sz w:val="26"/>
          <w:szCs w:val="26"/>
        </w:rPr>
        <w:t xml:space="preserve">Самым массовым и доступным видом отдыха в Коношском районе на протяжении ряда лет была организация оздоровительных лагерей с дневным пребыванием детей на базе образовательных учреждений. Они создают условия для полноценного, активного отдыха детей, обеспечивая их безопасность. </w:t>
      </w:r>
      <w:r w:rsidR="00EC479C">
        <w:rPr>
          <w:sz w:val="26"/>
          <w:szCs w:val="26"/>
        </w:rPr>
        <w:br/>
      </w:r>
      <w:r>
        <w:rPr>
          <w:sz w:val="26"/>
          <w:szCs w:val="26"/>
        </w:rPr>
        <w:t xml:space="preserve">В 2019 году были открыты 15 оздоровительных лагерей с дневным пребыванием на базе 11 общеобразовательных учреждений и 4 дошкольных учреждений района (в 2016 году – 17 на базе 11 общеобразовательных учреждений и 4 дошкольных учреждений района, в 2017 году – 16 на базе 11 общеобразовательных учреждений и 5 дошкольных учреждений района, в 2018 году – 16 на базе </w:t>
      </w:r>
      <w:r w:rsidR="00EC479C">
        <w:rPr>
          <w:sz w:val="26"/>
          <w:szCs w:val="26"/>
        </w:rPr>
        <w:br/>
      </w:r>
      <w:r>
        <w:rPr>
          <w:sz w:val="26"/>
          <w:szCs w:val="26"/>
        </w:rPr>
        <w:t xml:space="preserve">11 общеобразовательных учреждений и 5 дошкольных учреждений района). Все лагеря работали в 1 смену продолжительностью по 18 или 21 день. Оздоровлено 965 человек, что составляет 39 процентов от общего количества обучающихся района. Охват детей и подростков такой формой отдыха в 2018 году – </w:t>
      </w:r>
      <w:r w:rsidR="00EC479C">
        <w:rPr>
          <w:sz w:val="26"/>
          <w:szCs w:val="26"/>
        </w:rPr>
        <w:br/>
      </w:r>
      <w:r>
        <w:rPr>
          <w:sz w:val="26"/>
          <w:szCs w:val="26"/>
        </w:rPr>
        <w:t xml:space="preserve">39 процентов, 2017 году – 39 процентов, 2016 году – 41 процент, 2015 году – </w:t>
      </w:r>
      <w:r w:rsidR="00EC479C">
        <w:rPr>
          <w:sz w:val="26"/>
          <w:szCs w:val="26"/>
        </w:rPr>
        <w:br/>
      </w:r>
      <w:r>
        <w:rPr>
          <w:sz w:val="26"/>
          <w:szCs w:val="26"/>
        </w:rPr>
        <w:t>38 процентов, в 2014 году – 30 процентов, в 2013 году – 30 процентов.</w:t>
      </w:r>
    </w:p>
    <w:p w:rsidR="007D708F" w:rsidRDefault="007D708F" w:rsidP="007D708F">
      <w:pPr>
        <w:ind w:firstLine="720"/>
        <w:jc w:val="both"/>
        <w:rPr>
          <w:sz w:val="26"/>
          <w:szCs w:val="26"/>
        </w:rPr>
      </w:pPr>
      <w:r>
        <w:rPr>
          <w:sz w:val="26"/>
          <w:szCs w:val="26"/>
        </w:rPr>
        <w:lastRenderedPageBreak/>
        <w:t>Отдых и оздоровление детей проходит и в загородных стационарных оздоровительных лагерях.</w:t>
      </w:r>
    </w:p>
    <w:p w:rsidR="007D708F" w:rsidRDefault="007D708F" w:rsidP="007D708F">
      <w:pPr>
        <w:ind w:firstLine="720"/>
        <w:jc w:val="both"/>
        <w:rPr>
          <w:sz w:val="26"/>
          <w:szCs w:val="26"/>
        </w:rPr>
      </w:pPr>
      <w:r>
        <w:rPr>
          <w:sz w:val="26"/>
          <w:szCs w:val="26"/>
        </w:rPr>
        <w:t>За каникулярный период 2019 года (лето 2019 года) в загородных стационарных оздоровительных лагерях отдохнуло 43 человека (по состоянию на 01</w:t>
      </w:r>
      <w:r w:rsidR="00EC479C">
        <w:rPr>
          <w:sz w:val="26"/>
          <w:szCs w:val="26"/>
        </w:rPr>
        <w:t xml:space="preserve"> сентября </w:t>
      </w:r>
      <w:r>
        <w:rPr>
          <w:sz w:val="26"/>
          <w:szCs w:val="26"/>
        </w:rPr>
        <w:t>2019</w:t>
      </w:r>
      <w:r w:rsidR="00EC479C">
        <w:rPr>
          <w:sz w:val="26"/>
          <w:szCs w:val="26"/>
        </w:rPr>
        <w:t xml:space="preserve"> года</w:t>
      </w:r>
      <w:r>
        <w:rPr>
          <w:sz w:val="26"/>
          <w:szCs w:val="26"/>
        </w:rPr>
        <w:t xml:space="preserve"> – 1,7 процента от общего количества обучающихся), в том числе:</w:t>
      </w:r>
    </w:p>
    <w:p w:rsidR="007D708F" w:rsidRDefault="007D708F" w:rsidP="007D708F">
      <w:pPr>
        <w:ind w:firstLine="720"/>
        <w:jc w:val="both"/>
        <w:rPr>
          <w:sz w:val="26"/>
          <w:szCs w:val="26"/>
        </w:rPr>
      </w:pPr>
      <w:r>
        <w:rPr>
          <w:sz w:val="26"/>
          <w:szCs w:val="26"/>
        </w:rPr>
        <w:t>1) в детских загородных стационарных лагерях, расположенных на территории Архангельской области, отдохнуло 35 человек, из них:</w:t>
      </w:r>
    </w:p>
    <w:p w:rsidR="007D708F" w:rsidRDefault="007D708F" w:rsidP="007D708F">
      <w:pPr>
        <w:ind w:firstLine="720"/>
        <w:jc w:val="both"/>
        <w:rPr>
          <w:sz w:val="26"/>
          <w:szCs w:val="26"/>
        </w:rPr>
      </w:pPr>
      <w:r>
        <w:rPr>
          <w:sz w:val="26"/>
          <w:szCs w:val="26"/>
        </w:rPr>
        <w:t>в ДОЛ «Территория Детства» (Устьянский район) – 8 человек;</w:t>
      </w:r>
    </w:p>
    <w:p w:rsidR="007D708F" w:rsidRDefault="007D708F" w:rsidP="007D708F">
      <w:pPr>
        <w:ind w:firstLine="720"/>
        <w:jc w:val="both"/>
        <w:rPr>
          <w:sz w:val="26"/>
          <w:szCs w:val="26"/>
        </w:rPr>
      </w:pPr>
      <w:r>
        <w:rPr>
          <w:sz w:val="26"/>
          <w:szCs w:val="26"/>
        </w:rPr>
        <w:t>в ДОЛ «Ватса – Парк» (г. Котлас) – 20 человек;</w:t>
      </w:r>
    </w:p>
    <w:p w:rsidR="007D708F" w:rsidRDefault="007D708F" w:rsidP="007D708F">
      <w:pPr>
        <w:ind w:firstLine="720"/>
        <w:jc w:val="both"/>
        <w:rPr>
          <w:sz w:val="26"/>
          <w:szCs w:val="26"/>
        </w:rPr>
      </w:pPr>
      <w:r>
        <w:rPr>
          <w:sz w:val="26"/>
          <w:szCs w:val="26"/>
        </w:rPr>
        <w:t>в ДОЛ «Орленок» (г. Вельск) – 6 человек;</w:t>
      </w:r>
    </w:p>
    <w:p w:rsidR="007D708F" w:rsidRDefault="007D708F" w:rsidP="007D708F">
      <w:pPr>
        <w:ind w:firstLine="720"/>
        <w:jc w:val="both"/>
        <w:rPr>
          <w:sz w:val="26"/>
          <w:szCs w:val="26"/>
        </w:rPr>
      </w:pPr>
      <w:r>
        <w:rPr>
          <w:sz w:val="26"/>
          <w:szCs w:val="26"/>
        </w:rPr>
        <w:t>в ДОЛ «Лесная поляна» (г. Мирный) – 1 человек;</w:t>
      </w:r>
    </w:p>
    <w:p w:rsidR="007D708F" w:rsidRDefault="007D708F" w:rsidP="007D708F">
      <w:pPr>
        <w:pStyle w:val="a4"/>
        <w:ind w:firstLine="720"/>
        <w:jc w:val="both"/>
        <w:rPr>
          <w:rFonts w:ascii="Times New Roman" w:hAnsi="Times New Roman"/>
          <w:sz w:val="26"/>
          <w:szCs w:val="26"/>
        </w:rPr>
      </w:pPr>
      <w:r>
        <w:rPr>
          <w:rFonts w:ascii="Times New Roman" w:hAnsi="Times New Roman"/>
          <w:sz w:val="26"/>
          <w:szCs w:val="26"/>
        </w:rPr>
        <w:t>2) в загородных стационарных лагерях, расположенных за пределами области, отдохнуло 8 человек (1,7 процента от общего количества обучающихся):</w:t>
      </w:r>
    </w:p>
    <w:p w:rsidR="007D708F" w:rsidRDefault="007D708F" w:rsidP="007D708F">
      <w:pPr>
        <w:pStyle w:val="a4"/>
        <w:ind w:firstLine="720"/>
        <w:jc w:val="both"/>
        <w:rPr>
          <w:rFonts w:ascii="Times New Roman" w:hAnsi="Times New Roman"/>
          <w:sz w:val="26"/>
          <w:szCs w:val="26"/>
        </w:rPr>
      </w:pPr>
      <w:r>
        <w:rPr>
          <w:rFonts w:ascii="Times New Roman" w:hAnsi="Times New Roman"/>
          <w:sz w:val="26"/>
          <w:szCs w:val="26"/>
        </w:rPr>
        <w:t>в ДОЛ «Звездочка-Юг» (г. Анапа) – 8 человек.</w:t>
      </w:r>
    </w:p>
    <w:p w:rsidR="007D708F" w:rsidRDefault="007D708F" w:rsidP="007D708F">
      <w:pPr>
        <w:ind w:firstLine="720"/>
        <w:jc w:val="both"/>
        <w:rPr>
          <w:sz w:val="26"/>
          <w:szCs w:val="26"/>
        </w:rPr>
      </w:pPr>
      <w:r>
        <w:rPr>
          <w:sz w:val="26"/>
          <w:szCs w:val="26"/>
        </w:rPr>
        <w:t>Одним из приоритетных направлений деятельности управления образования, образовательных учреждений муниципального образования «Коношский муниципальный район» является организация оздоровительной кампании детей, находящихся в трудной жизненной ситуации. В каникулярные периоды 2019 года организованными формами отдыха и оздоровления (включая отдых и оздоровление в ДОЛ при школах) охвачено 170 детей, находящихся в трудной жизненной ситуации.</w:t>
      </w:r>
    </w:p>
    <w:p w:rsidR="007D708F" w:rsidRDefault="007D708F" w:rsidP="007D708F">
      <w:pPr>
        <w:ind w:firstLine="720"/>
        <w:jc w:val="both"/>
        <w:rPr>
          <w:sz w:val="26"/>
          <w:szCs w:val="26"/>
        </w:rPr>
      </w:pPr>
      <w:r>
        <w:rPr>
          <w:sz w:val="26"/>
          <w:szCs w:val="26"/>
        </w:rPr>
        <w:t>Накопленный опыт решения вопросов по улучшению организации отдыха и оздоровления детей и подростков, результаты анализа проводимых мероприятий подтверждают целесообразность и необходимость продолжения этой работы. Последовательное осуществление мер по улучшению развития системы отдыха и оздоровления позволит максимально обеспечить право каждого подростка на полноценный отдых и оздоровление, особенно в период каникул.</w:t>
      </w:r>
    </w:p>
    <w:p w:rsidR="007D708F" w:rsidRDefault="007D708F" w:rsidP="007D708F">
      <w:pPr>
        <w:ind w:firstLine="720"/>
        <w:jc w:val="both"/>
        <w:rPr>
          <w:sz w:val="26"/>
          <w:szCs w:val="26"/>
        </w:rPr>
      </w:pPr>
      <w:r>
        <w:rPr>
          <w:sz w:val="26"/>
          <w:szCs w:val="26"/>
        </w:rPr>
        <w:t>Проблема организации летнего отдыха, оздоровления, занятости детей и подростков остается в числе наиболее острых социальных проблем и требует решения программными методами. Необходимо развивать действующую систему отдыха и оздоровления детей и подростков, работать над увеличением охвата детей организованными формами отдыха, в том числе детей, находящихся в трудной жизненной ситуации</w:t>
      </w:r>
      <w:r>
        <w:rPr>
          <w:bCs/>
          <w:sz w:val="26"/>
          <w:szCs w:val="26"/>
        </w:rPr>
        <w:t xml:space="preserve">. </w:t>
      </w:r>
      <w:r>
        <w:rPr>
          <w:sz w:val="26"/>
          <w:szCs w:val="26"/>
        </w:rPr>
        <w:t>Это позволит укрепить здоровье детей, организовать их досуг, подготовить их к учебному году, снизить количество безнадзорности и правонарушений среди несовершеннолетних.</w:t>
      </w:r>
    </w:p>
    <w:p w:rsidR="007D708F" w:rsidRDefault="007D708F" w:rsidP="007D708F">
      <w:pPr>
        <w:ind w:firstLine="720"/>
        <w:jc w:val="both"/>
        <w:rPr>
          <w:sz w:val="26"/>
          <w:szCs w:val="26"/>
        </w:rPr>
      </w:pPr>
      <w:r>
        <w:rPr>
          <w:sz w:val="26"/>
          <w:szCs w:val="26"/>
        </w:rPr>
        <w:t>В сложившейся ситуации организация отдыха и оздоровления детей и подростков требует программно-целевого подхода и должна рассматриваться как целенаправленная деятельность, способная решать задачи по укреплению здоровья, развитию творческих способностей детей и подростков.</w:t>
      </w:r>
    </w:p>
    <w:p w:rsidR="007D708F" w:rsidRDefault="007D708F" w:rsidP="007D708F">
      <w:pPr>
        <w:jc w:val="center"/>
        <w:rPr>
          <w:b/>
          <w:sz w:val="26"/>
          <w:szCs w:val="26"/>
        </w:rPr>
      </w:pPr>
    </w:p>
    <w:p w:rsidR="007D708F" w:rsidRDefault="007D708F" w:rsidP="007D708F">
      <w:pPr>
        <w:jc w:val="center"/>
        <w:rPr>
          <w:b/>
          <w:sz w:val="26"/>
          <w:szCs w:val="26"/>
        </w:rPr>
      </w:pPr>
      <w:r>
        <w:rPr>
          <w:b/>
          <w:sz w:val="26"/>
          <w:szCs w:val="26"/>
          <w:lang w:val="en-US"/>
        </w:rPr>
        <w:t>II</w:t>
      </w:r>
      <w:r>
        <w:rPr>
          <w:b/>
          <w:sz w:val="26"/>
          <w:szCs w:val="26"/>
        </w:rPr>
        <w:t>. Цели и задачи муниципальной программы</w:t>
      </w:r>
    </w:p>
    <w:p w:rsidR="007D708F" w:rsidRDefault="007D708F" w:rsidP="007D708F">
      <w:pPr>
        <w:jc w:val="center"/>
        <w:rPr>
          <w:b/>
          <w:sz w:val="26"/>
          <w:szCs w:val="26"/>
        </w:rPr>
      </w:pPr>
    </w:p>
    <w:p w:rsidR="007D708F" w:rsidRDefault="007D708F" w:rsidP="007D708F">
      <w:pPr>
        <w:ind w:firstLine="720"/>
        <w:jc w:val="both"/>
        <w:rPr>
          <w:sz w:val="26"/>
          <w:szCs w:val="26"/>
        </w:rPr>
      </w:pPr>
      <w:r>
        <w:rPr>
          <w:sz w:val="26"/>
          <w:szCs w:val="26"/>
        </w:rPr>
        <w:t>Цель: обеспечение отдыха и оздоровления детей в каникулярный период.</w:t>
      </w:r>
    </w:p>
    <w:p w:rsidR="007D708F" w:rsidRDefault="007D708F" w:rsidP="007D708F">
      <w:pPr>
        <w:ind w:firstLine="720"/>
        <w:jc w:val="both"/>
        <w:rPr>
          <w:bCs/>
          <w:sz w:val="26"/>
          <w:szCs w:val="26"/>
        </w:rPr>
      </w:pPr>
      <w:r>
        <w:rPr>
          <w:sz w:val="26"/>
          <w:szCs w:val="26"/>
        </w:rPr>
        <w:t xml:space="preserve">Задача: </w:t>
      </w:r>
      <w:r>
        <w:rPr>
          <w:bCs/>
          <w:sz w:val="26"/>
          <w:szCs w:val="26"/>
        </w:rPr>
        <w:t>увеличение охвата детей всеми видами организованного отдыха и оздоровления.</w:t>
      </w:r>
    </w:p>
    <w:p w:rsidR="007D708F" w:rsidRDefault="007D708F" w:rsidP="007D708F">
      <w:pPr>
        <w:autoSpaceDE w:val="0"/>
        <w:autoSpaceDN w:val="0"/>
        <w:adjustRightInd w:val="0"/>
        <w:ind w:firstLine="720"/>
        <w:jc w:val="both"/>
        <w:rPr>
          <w:sz w:val="26"/>
          <w:szCs w:val="26"/>
        </w:rPr>
      </w:pPr>
      <w:r>
        <w:rPr>
          <w:bCs/>
          <w:sz w:val="26"/>
          <w:szCs w:val="26"/>
        </w:rPr>
        <w:t xml:space="preserve">При выполнении поставленной задачи предполагается достижение следующих </w:t>
      </w:r>
      <w:r>
        <w:rPr>
          <w:sz w:val="26"/>
          <w:szCs w:val="26"/>
        </w:rPr>
        <w:t>целевых показателей муниципальной программы:</w:t>
      </w:r>
    </w:p>
    <w:p w:rsidR="007D708F" w:rsidRDefault="007D708F" w:rsidP="007D708F">
      <w:pPr>
        <w:autoSpaceDE w:val="0"/>
        <w:autoSpaceDN w:val="0"/>
        <w:adjustRightInd w:val="0"/>
        <w:ind w:firstLine="720"/>
        <w:jc w:val="both"/>
        <w:rPr>
          <w:sz w:val="26"/>
          <w:szCs w:val="26"/>
        </w:rPr>
      </w:pPr>
      <w:r>
        <w:rPr>
          <w:sz w:val="26"/>
          <w:szCs w:val="26"/>
        </w:rPr>
        <w:lastRenderedPageBreak/>
        <w:t>охват детей и подростков организованными формами отдыха и оздоровления – не менее 40%;</w:t>
      </w:r>
    </w:p>
    <w:p w:rsidR="007D708F" w:rsidRDefault="007D708F" w:rsidP="007D708F">
      <w:pPr>
        <w:autoSpaceDE w:val="0"/>
        <w:autoSpaceDN w:val="0"/>
        <w:adjustRightInd w:val="0"/>
        <w:ind w:firstLine="720"/>
        <w:jc w:val="both"/>
        <w:rPr>
          <w:sz w:val="26"/>
          <w:szCs w:val="26"/>
        </w:rPr>
      </w:pPr>
      <w:r>
        <w:rPr>
          <w:sz w:val="26"/>
          <w:szCs w:val="26"/>
        </w:rPr>
        <w:t>охват детей и подростков, находящихся в трудной жизненной ситуации,  организованными формами отдыха и оздоровления – не менее 30%;</w:t>
      </w:r>
    </w:p>
    <w:p w:rsidR="007D708F" w:rsidRDefault="007D708F" w:rsidP="007D708F">
      <w:pPr>
        <w:autoSpaceDE w:val="0"/>
        <w:autoSpaceDN w:val="0"/>
        <w:adjustRightInd w:val="0"/>
        <w:ind w:firstLine="720"/>
        <w:jc w:val="both"/>
        <w:rPr>
          <w:sz w:val="26"/>
          <w:szCs w:val="26"/>
        </w:rPr>
      </w:pPr>
      <w:r>
        <w:rPr>
          <w:sz w:val="26"/>
          <w:szCs w:val="26"/>
        </w:rPr>
        <w:t>сохранение сети организаций отдыха детей и их оздоровления с дневным пребыванием на базе муниципальных общеобразовательных организаций и дошкольных образовательных организаций района – 100%.</w:t>
      </w:r>
    </w:p>
    <w:p w:rsidR="007D708F" w:rsidRPr="00CB5F23" w:rsidRDefault="007D708F" w:rsidP="00CB5F23">
      <w:pPr>
        <w:ind w:firstLine="720"/>
        <w:jc w:val="both"/>
        <w:rPr>
          <w:sz w:val="26"/>
          <w:szCs w:val="26"/>
        </w:rPr>
      </w:pPr>
      <w:r>
        <w:rPr>
          <w:sz w:val="26"/>
          <w:szCs w:val="26"/>
        </w:rPr>
        <w:t>Методика расчета целевых показателей эффективности муниципальной программы представлена в приложении № 1 к муниципальной программе.</w:t>
      </w:r>
    </w:p>
    <w:p w:rsidR="007D708F" w:rsidRDefault="007D708F" w:rsidP="007D708F">
      <w:pPr>
        <w:jc w:val="center"/>
        <w:rPr>
          <w:b/>
          <w:sz w:val="26"/>
          <w:szCs w:val="26"/>
        </w:rPr>
      </w:pPr>
    </w:p>
    <w:p w:rsidR="007D708F" w:rsidRDefault="007D708F" w:rsidP="007D708F">
      <w:pPr>
        <w:jc w:val="center"/>
        <w:rPr>
          <w:b/>
          <w:sz w:val="26"/>
          <w:szCs w:val="26"/>
        </w:rPr>
      </w:pPr>
      <w:r>
        <w:rPr>
          <w:b/>
          <w:sz w:val="26"/>
          <w:szCs w:val="26"/>
          <w:lang w:val="en-US"/>
        </w:rPr>
        <w:t>III</w:t>
      </w:r>
      <w:r>
        <w:rPr>
          <w:b/>
          <w:sz w:val="26"/>
          <w:szCs w:val="26"/>
        </w:rPr>
        <w:t>. Сроки и этапы реализации муниципальной программы</w:t>
      </w:r>
    </w:p>
    <w:p w:rsidR="007D708F" w:rsidRDefault="007D708F" w:rsidP="007D708F">
      <w:pPr>
        <w:ind w:firstLine="720"/>
        <w:jc w:val="both"/>
        <w:rPr>
          <w:sz w:val="26"/>
          <w:szCs w:val="26"/>
        </w:rPr>
      </w:pPr>
    </w:p>
    <w:p w:rsidR="007D708F" w:rsidRDefault="007D708F" w:rsidP="007D708F">
      <w:pPr>
        <w:ind w:firstLine="720"/>
        <w:jc w:val="both"/>
        <w:rPr>
          <w:sz w:val="26"/>
          <w:szCs w:val="26"/>
        </w:rPr>
      </w:pPr>
      <w:r>
        <w:rPr>
          <w:sz w:val="26"/>
          <w:szCs w:val="26"/>
        </w:rPr>
        <w:t>Реализация мероприятий муниципальной программы предусмотрена в течение 2020 года. Выполнение муниципальной программы осуществляется в один этап.</w:t>
      </w:r>
    </w:p>
    <w:p w:rsidR="007D708F" w:rsidRDefault="007D708F" w:rsidP="007D708F">
      <w:pPr>
        <w:jc w:val="center"/>
        <w:rPr>
          <w:b/>
          <w:sz w:val="26"/>
          <w:szCs w:val="26"/>
        </w:rPr>
      </w:pPr>
    </w:p>
    <w:p w:rsidR="007D708F" w:rsidRDefault="007D708F" w:rsidP="007D708F">
      <w:pPr>
        <w:jc w:val="center"/>
        <w:rPr>
          <w:b/>
          <w:sz w:val="26"/>
          <w:szCs w:val="26"/>
        </w:rPr>
      </w:pPr>
      <w:r>
        <w:rPr>
          <w:b/>
          <w:sz w:val="26"/>
          <w:szCs w:val="26"/>
          <w:lang w:val="en-US"/>
        </w:rPr>
        <w:t>IV</w:t>
      </w:r>
      <w:r>
        <w:rPr>
          <w:b/>
          <w:sz w:val="26"/>
          <w:szCs w:val="26"/>
        </w:rPr>
        <w:t>. Ресурсное обеспечение реализации муниципальной программы</w:t>
      </w:r>
    </w:p>
    <w:p w:rsidR="007D708F" w:rsidRDefault="007D708F" w:rsidP="007D708F">
      <w:pPr>
        <w:jc w:val="center"/>
        <w:rPr>
          <w:b/>
          <w:sz w:val="26"/>
          <w:szCs w:val="26"/>
        </w:rPr>
      </w:pPr>
    </w:p>
    <w:p w:rsidR="007D708F" w:rsidRDefault="00CB5F23" w:rsidP="00CB5F23">
      <w:pPr>
        <w:ind w:firstLine="708"/>
        <w:jc w:val="both"/>
        <w:rPr>
          <w:b/>
          <w:sz w:val="26"/>
          <w:szCs w:val="26"/>
        </w:rPr>
      </w:pPr>
      <w:r>
        <w:rPr>
          <w:sz w:val="26"/>
          <w:szCs w:val="26"/>
        </w:rPr>
        <w:t>Ф</w:t>
      </w:r>
      <w:bookmarkStart w:id="0" w:name="_GoBack"/>
      <w:bookmarkEnd w:id="0"/>
      <w:r w:rsidR="007D708F">
        <w:rPr>
          <w:sz w:val="26"/>
          <w:szCs w:val="26"/>
        </w:rPr>
        <w:t>инансирование мероприятий муниципальной программы осуществляется за счет средств областного бюджета, местного бюджета с привлечением средств внебюджетных источников.</w:t>
      </w:r>
    </w:p>
    <w:p w:rsidR="007D708F" w:rsidRDefault="007D708F" w:rsidP="007D708F">
      <w:pPr>
        <w:pStyle w:val="ConsPlusNormal"/>
        <w:widowControl/>
        <w:jc w:val="both"/>
        <w:rPr>
          <w:rFonts w:ascii="Times New Roman" w:hAnsi="Times New Roman" w:cs="Times New Roman"/>
          <w:sz w:val="26"/>
          <w:szCs w:val="26"/>
        </w:rPr>
      </w:pPr>
      <w:r>
        <w:rPr>
          <w:rFonts w:ascii="Times New Roman" w:hAnsi="Times New Roman" w:cs="Times New Roman"/>
          <w:sz w:val="26"/>
          <w:szCs w:val="26"/>
        </w:rPr>
        <w:t xml:space="preserve">Общий объем финансирования муниципальной программы составляет </w:t>
      </w:r>
      <w:r w:rsidR="00EC479C">
        <w:rPr>
          <w:rFonts w:ascii="Times New Roman" w:hAnsi="Times New Roman" w:cs="Times New Roman"/>
          <w:sz w:val="26"/>
          <w:szCs w:val="26"/>
        </w:rPr>
        <w:br/>
      </w:r>
      <w:r>
        <w:rPr>
          <w:rFonts w:ascii="Times New Roman" w:hAnsi="Times New Roman" w:cs="Times New Roman"/>
          <w:sz w:val="26"/>
          <w:szCs w:val="26"/>
        </w:rPr>
        <w:t>300,0  тыс. рублей, в том числе:</w:t>
      </w:r>
    </w:p>
    <w:p w:rsidR="007D708F" w:rsidRDefault="007D708F" w:rsidP="007D708F">
      <w:pPr>
        <w:pStyle w:val="ConsPlusNormal"/>
        <w:widowControl/>
        <w:jc w:val="both"/>
        <w:rPr>
          <w:rFonts w:ascii="Times New Roman" w:hAnsi="Times New Roman" w:cs="Times New Roman"/>
          <w:sz w:val="26"/>
          <w:szCs w:val="26"/>
        </w:rPr>
      </w:pPr>
      <w:r>
        <w:rPr>
          <w:rFonts w:ascii="Times New Roman" w:hAnsi="Times New Roman" w:cs="Times New Roman"/>
          <w:sz w:val="26"/>
          <w:szCs w:val="26"/>
        </w:rPr>
        <w:t>средства районного бюджета – 300,0 тыс. рублей;</w:t>
      </w:r>
    </w:p>
    <w:p w:rsidR="007D708F" w:rsidRDefault="007D708F" w:rsidP="007D708F">
      <w:pPr>
        <w:pStyle w:val="ConsPlusNormal"/>
        <w:widowControl/>
        <w:jc w:val="both"/>
        <w:rPr>
          <w:rFonts w:ascii="Times New Roman" w:hAnsi="Times New Roman" w:cs="Times New Roman"/>
          <w:sz w:val="26"/>
          <w:szCs w:val="26"/>
        </w:rPr>
      </w:pPr>
      <w:r>
        <w:rPr>
          <w:rFonts w:ascii="Times New Roman" w:hAnsi="Times New Roman" w:cs="Times New Roman"/>
          <w:sz w:val="26"/>
          <w:szCs w:val="26"/>
        </w:rPr>
        <w:t>средства областного бюджета – 0,0 тыс. рублей.</w:t>
      </w:r>
    </w:p>
    <w:p w:rsidR="007D708F" w:rsidRDefault="007D708F" w:rsidP="007D708F">
      <w:pPr>
        <w:ind w:firstLine="720"/>
        <w:jc w:val="both"/>
        <w:rPr>
          <w:sz w:val="26"/>
          <w:szCs w:val="26"/>
        </w:rPr>
      </w:pPr>
      <w:r>
        <w:rPr>
          <w:sz w:val="26"/>
          <w:szCs w:val="26"/>
        </w:rPr>
        <w:t>Ресурсное обеспечение реализации муниципальной программы за счет всех источников финансирования приведено в приложении № 2 к муниципальной программе.</w:t>
      </w:r>
    </w:p>
    <w:p w:rsidR="007D708F" w:rsidRDefault="007D708F" w:rsidP="007D708F">
      <w:pPr>
        <w:autoSpaceDE w:val="0"/>
        <w:autoSpaceDN w:val="0"/>
        <w:adjustRightInd w:val="0"/>
        <w:ind w:firstLine="720"/>
        <w:jc w:val="both"/>
        <w:rPr>
          <w:sz w:val="26"/>
          <w:szCs w:val="26"/>
        </w:rPr>
      </w:pPr>
      <w:r>
        <w:rPr>
          <w:sz w:val="26"/>
          <w:szCs w:val="26"/>
        </w:rPr>
        <w:t>Перечень мероприятий муниципальной программы представлен в приложении № 3 к муниципальной программе.</w:t>
      </w:r>
    </w:p>
    <w:p w:rsidR="007D708F" w:rsidRDefault="007D708F" w:rsidP="007D708F">
      <w:pPr>
        <w:autoSpaceDE w:val="0"/>
        <w:autoSpaceDN w:val="0"/>
        <w:adjustRightInd w:val="0"/>
        <w:ind w:firstLine="720"/>
        <w:jc w:val="both"/>
        <w:rPr>
          <w:sz w:val="26"/>
          <w:szCs w:val="26"/>
        </w:rPr>
      </w:pPr>
    </w:p>
    <w:p w:rsidR="007D708F" w:rsidRDefault="007D708F" w:rsidP="007D708F">
      <w:pPr>
        <w:jc w:val="center"/>
        <w:rPr>
          <w:b/>
          <w:sz w:val="26"/>
          <w:szCs w:val="26"/>
        </w:rPr>
      </w:pPr>
      <w:r>
        <w:rPr>
          <w:b/>
          <w:sz w:val="26"/>
          <w:szCs w:val="26"/>
          <w:lang w:val="en-US"/>
        </w:rPr>
        <w:t>V</w:t>
      </w:r>
      <w:r>
        <w:rPr>
          <w:b/>
          <w:sz w:val="26"/>
          <w:szCs w:val="26"/>
        </w:rPr>
        <w:t>. Ожидаемые результаты реализации муниципальной программы</w:t>
      </w:r>
    </w:p>
    <w:p w:rsidR="007D708F" w:rsidRDefault="007D708F" w:rsidP="007D708F">
      <w:pPr>
        <w:jc w:val="center"/>
        <w:rPr>
          <w:sz w:val="26"/>
          <w:szCs w:val="26"/>
        </w:rPr>
      </w:pPr>
    </w:p>
    <w:p w:rsidR="007D708F" w:rsidRDefault="007D708F" w:rsidP="007D708F">
      <w:pPr>
        <w:ind w:firstLine="720"/>
        <w:jc w:val="both"/>
        <w:rPr>
          <w:sz w:val="26"/>
          <w:szCs w:val="26"/>
        </w:rPr>
      </w:pPr>
      <w:r>
        <w:rPr>
          <w:sz w:val="26"/>
          <w:szCs w:val="26"/>
        </w:rPr>
        <w:t>1. Реализация в полном объеме предусмотренных муниципальной программой мероприятий позволит обеспечить достижение ряда положительных результатов:</w:t>
      </w:r>
    </w:p>
    <w:p w:rsidR="007D708F" w:rsidRDefault="007D708F" w:rsidP="007D708F">
      <w:pPr>
        <w:autoSpaceDE w:val="0"/>
        <w:autoSpaceDN w:val="0"/>
        <w:adjustRightInd w:val="0"/>
        <w:ind w:firstLine="708"/>
        <w:jc w:val="both"/>
        <w:rPr>
          <w:sz w:val="26"/>
          <w:szCs w:val="26"/>
        </w:rPr>
      </w:pPr>
      <w:r>
        <w:rPr>
          <w:sz w:val="26"/>
          <w:szCs w:val="26"/>
        </w:rPr>
        <w:t>сохранение сети организаций отдыха детей и их оздоровления с дневным пребыванием на базе муниципальных общеобразовательных организаций и дошкольных образовательных организаций района;</w:t>
      </w:r>
    </w:p>
    <w:p w:rsidR="007D708F" w:rsidRDefault="007D708F" w:rsidP="007D708F">
      <w:pPr>
        <w:ind w:firstLine="708"/>
        <w:jc w:val="both"/>
        <w:rPr>
          <w:sz w:val="26"/>
          <w:szCs w:val="26"/>
        </w:rPr>
      </w:pPr>
      <w:r>
        <w:rPr>
          <w:sz w:val="26"/>
          <w:szCs w:val="26"/>
        </w:rPr>
        <w:t>увеличение охвата детей и подростков, в том числе  находящихся в трудной жизненной ситуации, организованными формами отдыха и оздоровления.</w:t>
      </w:r>
    </w:p>
    <w:p w:rsidR="007D708F" w:rsidRDefault="007D708F" w:rsidP="007D708F">
      <w:pPr>
        <w:ind w:firstLine="720"/>
        <w:jc w:val="both"/>
        <w:rPr>
          <w:sz w:val="26"/>
          <w:szCs w:val="26"/>
        </w:rPr>
      </w:pPr>
      <w:r>
        <w:rPr>
          <w:sz w:val="26"/>
          <w:szCs w:val="26"/>
        </w:rPr>
        <w:t>2. Методика оценки эффективности выполнения муниципальной программы представлена в таблице:</w:t>
      </w:r>
    </w:p>
    <w:p w:rsidR="007D708F" w:rsidRDefault="007D708F" w:rsidP="007D708F">
      <w:pPr>
        <w:ind w:firstLine="720"/>
        <w:jc w:val="both"/>
        <w:rPr>
          <w:sz w:val="26"/>
          <w:szCs w:val="26"/>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0"/>
        <w:gridCol w:w="2410"/>
      </w:tblGrid>
      <w:tr w:rsidR="007D708F" w:rsidTr="007D708F">
        <w:tc>
          <w:tcPr>
            <w:tcW w:w="7371" w:type="dxa"/>
            <w:tcBorders>
              <w:top w:val="single" w:sz="4" w:space="0" w:color="auto"/>
              <w:left w:val="single" w:sz="4" w:space="0" w:color="auto"/>
              <w:bottom w:val="single" w:sz="4" w:space="0" w:color="auto"/>
              <w:right w:val="single" w:sz="4" w:space="0" w:color="auto"/>
            </w:tcBorders>
            <w:hideMark/>
          </w:tcPr>
          <w:p w:rsidR="007D708F" w:rsidRDefault="007D708F">
            <w:pPr>
              <w:jc w:val="center"/>
              <w:rPr>
                <w:sz w:val="26"/>
                <w:szCs w:val="26"/>
              </w:rPr>
            </w:pPr>
            <w:r>
              <w:rPr>
                <w:sz w:val="26"/>
                <w:szCs w:val="26"/>
              </w:rPr>
              <w:t>Показатель эффективности, единица измерения</w:t>
            </w:r>
          </w:p>
        </w:tc>
        <w:tc>
          <w:tcPr>
            <w:tcW w:w="2410" w:type="dxa"/>
            <w:tcBorders>
              <w:top w:val="single" w:sz="4" w:space="0" w:color="auto"/>
              <w:left w:val="single" w:sz="4" w:space="0" w:color="auto"/>
              <w:bottom w:val="single" w:sz="4" w:space="0" w:color="auto"/>
              <w:right w:val="single" w:sz="4" w:space="0" w:color="auto"/>
            </w:tcBorders>
            <w:hideMark/>
          </w:tcPr>
          <w:p w:rsidR="007D708F" w:rsidRDefault="007D708F">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Плановое значение показателя</w:t>
            </w:r>
          </w:p>
        </w:tc>
      </w:tr>
      <w:tr w:rsidR="007D708F" w:rsidTr="007D708F">
        <w:tc>
          <w:tcPr>
            <w:tcW w:w="7371" w:type="dxa"/>
            <w:tcBorders>
              <w:top w:val="single" w:sz="4" w:space="0" w:color="auto"/>
              <w:left w:val="single" w:sz="4" w:space="0" w:color="auto"/>
              <w:bottom w:val="single" w:sz="4" w:space="0" w:color="auto"/>
              <w:right w:val="single" w:sz="4" w:space="0" w:color="auto"/>
            </w:tcBorders>
            <w:hideMark/>
          </w:tcPr>
          <w:p w:rsidR="007D708F" w:rsidRDefault="007D708F" w:rsidP="0054416D">
            <w:pPr>
              <w:numPr>
                <w:ilvl w:val="0"/>
                <w:numId w:val="1"/>
              </w:numPr>
              <w:tabs>
                <w:tab w:val="left" w:pos="318"/>
              </w:tabs>
              <w:autoSpaceDE w:val="0"/>
              <w:autoSpaceDN w:val="0"/>
              <w:adjustRightInd w:val="0"/>
              <w:ind w:left="0" w:firstLine="34"/>
              <w:rPr>
                <w:sz w:val="26"/>
                <w:szCs w:val="26"/>
              </w:rPr>
            </w:pPr>
            <w:r>
              <w:rPr>
                <w:sz w:val="26"/>
                <w:szCs w:val="26"/>
              </w:rPr>
              <w:t>Охват детей и подростков организованными</w:t>
            </w:r>
          </w:p>
          <w:p w:rsidR="007D708F" w:rsidRDefault="007D708F">
            <w:pPr>
              <w:autoSpaceDE w:val="0"/>
              <w:autoSpaceDN w:val="0"/>
              <w:adjustRightInd w:val="0"/>
              <w:rPr>
                <w:sz w:val="26"/>
                <w:szCs w:val="26"/>
              </w:rPr>
            </w:pPr>
            <w:r>
              <w:rPr>
                <w:sz w:val="26"/>
                <w:szCs w:val="26"/>
              </w:rPr>
              <w:t>формами отдыха и оздоровления, процент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08F" w:rsidRDefault="007D708F">
            <w:pPr>
              <w:jc w:val="center"/>
              <w:rPr>
                <w:sz w:val="26"/>
                <w:szCs w:val="26"/>
              </w:rPr>
            </w:pPr>
            <w:r>
              <w:rPr>
                <w:sz w:val="26"/>
                <w:szCs w:val="26"/>
              </w:rPr>
              <w:t>не менее 40%</w:t>
            </w:r>
          </w:p>
        </w:tc>
      </w:tr>
      <w:tr w:rsidR="007D708F" w:rsidTr="007D708F">
        <w:tc>
          <w:tcPr>
            <w:tcW w:w="7371" w:type="dxa"/>
            <w:tcBorders>
              <w:top w:val="single" w:sz="4" w:space="0" w:color="auto"/>
              <w:left w:val="single" w:sz="4" w:space="0" w:color="auto"/>
              <w:bottom w:val="single" w:sz="4" w:space="0" w:color="auto"/>
              <w:right w:val="single" w:sz="4" w:space="0" w:color="auto"/>
            </w:tcBorders>
            <w:hideMark/>
          </w:tcPr>
          <w:p w:rsidR="007D708F" w:rsidRDefault="007D708F">
            <w:pPr>
              <w:autoSpaceDE w:val="0"/>
              <w:autoSpaceDN w:val="0"/>
              <w:adjustRightInd w:val="0"/>
              <w:rPr>
                <w:sz w:val="26"/>
                <w:szCs w:val="26"/>
              </w:rPr>
            </w:pPr>
            <w:r>
              <w:rPr>
                <w:sz w:val="26"/>
                <w:szCs w:val="26"/>
              </w:rPr>
              <w:lastRenderedPageBreak/>
              <w:t>2. Охват детей, находящихся в трудной жизненной ситуации, организованными формами отдыха и оздоровления, процент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08F" w:rsidRDefault="007D708F">
            <w:pPr>
              <w:jc w:val="center"/>
              <w:rPr>
                <w:sz w:val="26"/>
                <w:szCs w:val="26"/>
              </w:rPr>
            </w:pPr>
            <w:r>
              <w:rPr>
                <w:sz w:val="26"/>
                <w:szCs w:val="26"/>
              </w:rPr>
              <w:t>не менее 30%</w:t>
            </w:r>
          </w:p>
        </w:tc>
      </w:tr>
      <w:tr w:rsidR="007D708F" w:rsidTr="007D708F">
        <w:tc>
          <w:tcPr>
            <w:tcW w:w="7371" w:type="dxa"/>
            <w:tcBorders>
              <w:top w:val="single" w:sz="4" w:space="0" w:color="auto"/>
              <w:left w:val="single" w:sz="4" w:space="0" w:color="auto"/>
              <w:bottom w:val="single" w:sz="4" w:space="0" w:color="auto"/>
              <w:right w:val="single" w:sz="4" w:space="0" w:color="auto"/>
            </w:tcBorders>
            <w:hideMark/>
          </w:tcPr>
          <w:p w:rsidR="007D708F" w:rsidRDefault="007D708F">
            <w:pPr>
              <w:autoSpaceDE w:val="0"/>
              <w:autoSpaceDN w:val="0"/>
              <w:adjustRightInd w:val="0"/>
              <w:rPr>
                <w:sz w:val="26"/>
                <w:szCs w:val="26"/>
              </w:rPr>
            </w:pPr>
            <w:r>
              <w:rPr>
                <w:sz w:val="26"/>
                <w:szCs w:val="26"/>
              </w:rPr>
              <w:t>3. Сохранение сети организаций отдыха детей и их оздоровления с дневным пребыванием на базе общеобразовательных организации и дошкольных образовательных организаций района, процент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08F" w:rsidRDefault="007D708F">
            <w:pPr>
              <w:jc w:val="center"/>
              <w:rPr>
                <w:sz w:val="26"/>
                <w:szCs w:val="26"/>
              </w:rPr>
            </w:pPr>
            <w:r>
              <w:rPr>
                <w:sz w:val="26"/>
                <w:szCs w:val="26"/>
              </w:rPr>
              <w:t>100%</w:t>
            </w:r>
          </w:p>
        </w:tc>
      </w:tr>
    </w:tbl>
    <w:p w:rsidR="007D708F" w:rsidRDefault="007D708F" w:rsidP="007D708F">
      <w:pPr>
        <w:rPr>
          <w:sz w:val="26"/>
          <w:szCs w:val="26"/>
        </w:rPr>
      </w:pPr>
    </w:p>
    <w:p w:rsidR="007D708F" w:rsidRDefault="007D708F" w:rsidP="007D708F">
      <w:pPr>
        <w:jc w:val="center"/>
        <w:rPr>
          <w:sz w:val="26"/>
          <w:szCs w:val="26"/>
        </w:rPr>
      </w:pPr>
      <w:r>
        <w:rPr>
          <w:sz w:val="26"/>
          <w:szCs w:val="26"/>
        </w:rPr>
        <w:t>___________________</w:t>
      </w:r>
    </w:p>
    <w:p w:rsidR="007D708F" w:rsidRDefault="007D708F" w:rsidP="007D708F">
      <w:pPr>
        <w:jc w:val="center"/>
        <w:rPr>
          <w:sz w:val="26"/>
          <w:szCs w:val="26"/>
        </w:rPr>
      </w:pPr>
    </w:p>
    <w:p w:rsidR="007D708F" w:rsidRDefault="007D708F" w:rsidP="007D708F">
      <w:pPr>
        <w:jc w:val="center"/>
        <w:rPr>
          <w:sz w:val="26"/>
          <w:szCs w:val="26"/>
        </w:rPr>
      </w:pPr>
    </w:p>
    <w:p w:rsidR="007D708F" w:rsidRDefault="007D708F" w:rsidP="007D708F">
      <w:pPr>
        <w:jc w:val="center"/>
        <w:rPr>
          <w:sz w:val="26"/>
          <w:szCs w:val="26"/>
        </w:rPr>
      </w:pPr>
    </w:p>
    <w:p w:rsidR="007D708F" w:rsidRDefault="007D708F" w:rsidP="007D708F">
      <w:pPr>
        <w:jc w:val="center"/>
        <w:rPr>
          <w:sz w:val="26"/>
          <w:szCs w:val="26"/>
        </w:rPr>
      </w:pPr>
    </w:p>
    <w:p w:rsidR="007D708F" w:rsidRDefault="007D708F" w:rsidP="007D708F">
      <w:pPr>
        <w:jc w:val="center"/>
        <w:rPr>
          <w:sz w:val="26"/>
          <w:szCs w:val="26"/>
        </w:rPr>
      </w:pPr>
    </w:p>
    <w:p w:rsidR="00082C18" w:rsidRDefault="00082C18"/>
    <w:sectPr w:rsidR="00082C18" w:rsidSect="00CB5F23">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8E5" w:rsidRDefault="002858E5" w:rsidP="00CB5F23">
      <w:r>
        <w:separator/>
      </w:r>
    </w:p>
  </w:endnote>
  <w:endnote w:type="continuationSeparator" w:id="1">
    <w:p w:rsidR="002858E5" w:rsidRDefault="002858E5" w:rsidP="00CB5F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8E5" w:rsidRDefault="002858E5" w:rsidP="00CB5F23">
      <w:r>
        <w:separator/>
      </w:r>
    </w:p>
  </w:footnote>
  <w:footnote w:type="continuationSeparator" w:id="1">
    <w:p w:rsidR="002858E5" w:rsidRDefault="002858E5" w:rsidP="00CB5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0622720"/>
      <w:docPartObj>
        <w:docPartGallery w:val="Page Numbers (Top of Page)"/>
        <w:docPartUnique/>
      </w:docPartObj>
    </w:sdtPr>
    <w:sdtContent>
      <w:p w:rsidR="00CB5F23" w:rsidRDefault="00EB4869">
        <w:pPr>
          <w:pStyle w:val="a5"/>
          <w:jc w:val="center"/>
        </w:pPr>
        <w:r>
          <w:fldChar w:fldCharType="begin"/>
        </w:r>
        <w:r w:rsidR="00CB5F23">
          <w:instrText>PAGE   \* MERGEFORMAT</w:instrText>
        </w:r>
        <w:r>
          <w:fldChar w:fldCharType="separate"/>
        </w:r>
        <w:r w:rsidR="00EC479C">
          <w:rPr>
            <w:noProof/>
          </w:rPr>
          <w:t>2</w:t>
        </w:r>
        <w:r>
          <w:fldChar w:fldCharType="end"/>
        </w:r>
      </w:p>
    </w:sdtContent>
  </w:sdt>
  <w:p w:rsidR="00CB5F23" w:rsidRDefault="00CB5F2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5F54D3"/>
    <w:multiLevelType w:val="hybridMultilevel"/>
    <w:tmpl w:val="B9546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841FF"/>
    <w:rsid w:val="00082C18"/>
    <w:rsid w:val="002858E5"/>
    <w:rsid w:val="0054616D"/>
    <w:rsid w:val="007A2F18"/>
    <w:rsid w:val="007D708F"/>
    <w:rsid w:val="00C841FF"/>
    <w:rsid w:val="00CB5F23"/>
    <w:rsid w:val="00EB4869"/>
    <w:rsid w:val="00EC47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0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D708F"/>
    <w:pPr>
      <w:spacing w:before="100" w:beforeAutospacing="1" w:after="100" w:afterAutospacing="1"/>
    </w:pPr>
  </w:style>
  <w:style w:type="paragraph" w:styleId="a4">
    <w:name w:val="No Spacing"/>
    <w:qFormat/>
    <w:rsid w:val="007D708F"/>
    <w:pPr>
      <w:spacing w:after="0" w:line="240" w:lineRule="auto"/>
    </w:pPr>
    <w:rPr>
      <w:rFonts w:ascii="Calibri" w:eastAsia="Calibri" w:hAnsi="Calibri" w:cs="Times New Roman"/>
    </w:rPr>
  </w:style>
  <w:style w:type="paragraph" w:customStyle="1" w:styleId="ConsPlusNormal">
    <w:name w:val="ConsPlusNormal"/>
    <w:rsid w:val="007D708F"/>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unhideWhenUsed/>
    <w:rsid w:val="00CB5F23"/>
    <w:pPr>
      <w:tabs>
        <w:tab w:val="center" w:pos="4677"/>
        <w:tab w:val="right" w:pos="9355"/>
      </w:tabs>
    </w:pPr>
  </w:style>
  <w:style w:type="character" w:customStyle="1" w:styleId="a6">
    <w:name w:val="Верхний колонтитул Знак"/>
    <w:basedOn w:val="a0"/>
    <w:link w:val="a5"/>
    <w:uiPriority w:val="99"/>
    <w:rsid w:val="00CB5F2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B5F23"/>
    <w:pPr>
      <w:tabs>
        <w:tab w:val="center" w:pos="4677"/>
        <w:tab w:val="right" w:pos="9355"/>
      </w:tabs>
    </w:pPr>
  </w:style>
  <w:style w:type="character" w:customStyle="1" w:styleId="a8">
    <w:name w:val="Нижний колонтитул Знак"/>
    <w:basedOn w:val="a0"/>
    <w:link w:val="a7"/>
    <w:uiPriority w:val="99"/>
    <w:rsid w:val="00CB5F2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4544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1455</Words>
  <Characters>8299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Администрация</cp:lastModifiedBy>
  <cp:revision>6</cp:revision>
  <cp:lastPrinted>2019-10-08T06:42:00Z</cp:lastPrinted>
  <dcterms:created xsi:type="dcterms:W3CDTF">2019-10-07T15:45:00Z</dcterms:created>
  <dcterms:modified xsi:type="dcterms:W3CDTF">2019-10-08T06:43:00Z</dcterms:modified>
</cp:coreProperties>
</file>