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№ 3</w:t>
      </w:r>
    </w:p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>к постановлению администрации муниципального образования «Коношский муниципальный район»</w:t>
      </w:r>
    </w:p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декабря 2019 г. № 794</w:t>
      </w: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sz w:val="24"/>
          <w:szCs w:val="24"/>
        </w:rPr>
        <w:t>ПРИЛОЖЕНИЕ № 2</w:t>
      </w: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 (2013 – 2024 годы)» на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CE4394">
        <w:rPr>
          <w:rFonts w:ascii="Times New Roman" w:eastAsia="Times New Roman" w:hAnsi="Times New Roman" w:cs="Times New Roman"/>
          <w:bCs/>
          <w:sz w:val="24"/>
          <w:szCs w:val="24"/>
        </w:rPr>
        <w:t>2022 годы»</w:t>
      </w: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4394" w:rsidRPr="00CE4394" w:rsidRDefault="00CE4394" w:rsidP="00CE439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E4394" w:rsidRPr="00CE4394" w:rsidRDefault="00CE4394" w:rsidP="00CE43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</w:p>
    <w:p w:rsidR="00CE4394" w:rsidRPr="00CE4394" w:rsidRDefault="00CE4394" w:rsidP="00CE4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/>
          <w:sz w:val="24"/>
          <w:szCs w:val="24"/>
        </w:rPr>
        <w:t>реализации муниципальной программы</w:t>
      </w:r>
    </w:p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«Софинансирование мероприятий, предусмотренных государственной программой Архангельской области «Культура Русского Севера (2013 – 2024 годы)» </w:t>
      </w:r>
    </w:p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на 2020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CE4394">
        <w:rPr>
          <w:rFonts w:ascii="Times New Roman" w:eastAsia="Times New Roman" w:hAnsi="Times New Roman" w:cs="Times New Roman"/>
          <w:b/>
          <w:bCs/>
          <w:sz w:val="24"/>
          <w:szCs w:val="24"/>
        </w:rPr>
        <w:t>2022 годы»</w:t>
      </w:r>
    </w:p>
    <w:p w:rsidR="00CE4394" w:rsidRPr="00CE4394" w:rsidRDefault="00CE4394" w:rsidP="00CE43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E4394">
        <w:rPr>
          <w:rFonts w:ascii="Times New Roman" w:eastAsia="Times New Roman" w:hAnsi="Times New Roman" w:cs="Times New Roman"/>
          <w:spacing w:val="-2"/>
          <w:sz w:val="24"/>
          <w:szCs w:val="24"/>
        </w:rPr>
        <w:t>за счет всех источников финансирования</w:t>
      </w:r>
    </w:p>
    <w:p w:rsidR="00CE4394" w:rsidRPr="00CE4394" w:rsidRDefault="00CE4394" w:rsidP="00CE4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81"/>
        <w:gridCol w:w="2233"/>
        <w:gridCol w:w="1954"/>
        <w:gridCol w:w="977"/>
        <w:gridCol w:w="838"/>
        <w:gridCol w:w="837"/>
        <w:gridCol w:w="921"/>
      </w:tblGrid>
      <w:tr w:rsidR="00CE4394" w:rsidRPr="00CE4394" w:rsidTr="00CE4394">
        <w:trPr>
          <w:trHeight w:val="499"/>
        </w:trPr>
        <w:tc>
          <w:tcPr>
            <w:tcW w:w="1781" w:type="dxa"/>
            <w:vMerge w:val="restart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2233" w:type="dxa"/>
            <w:vMerge w:val="restart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954" w:type="dxa"/>
            <w:vMerge w:val="restart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Источник финансирования</w:t>
            </w:r>
          </w:p>
        </w:tc>
        <w:tc>
          <w:tcPr>
            <w:tcW w:w="3572" w:type="dxa"/>
            <w:gridSpan w:val="4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Оценка расходов,</w:t>
            </w:r>
          </w:p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тыс. рублей</w:t>
            </w:r>
          </w:p>
        </w:tc>
      </w:tr>
      <w:tr w:rsidR="00CE4394" w:rsidRPr="00CE4394" w:rsidTr="00CE4394">
        <w:trPr>
          <w:trHeight w:val="145"/>
        </w:trPr>
        <w:tc>
          <w:tcPr>
            <w:tcW w:w="1781" w:type="dxa"/>
            <w:vMerge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  <w:vMerge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2020г.</w:t>
            </w:r>
          </w:p>
        </w:tc>
        <w:tc>
          <w:tcPr>
            <w:tcW w:w="838" w:type="dxa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2021г.  (прогноз)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2022г.  (прогноз)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CE4394" w:rsidRPr="00CE4394" w:rsidTr="00CE4394">
        <w:trPr>
          <w:trHeight w:val="212"/>
        </w:trPr>
        <w:tc>
          <w:tcPr>
            <w:tcW w:w="1781" w:type="dxa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39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33" w:type="dxa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39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4" w:type="dxa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39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39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38" w:type="dxa"/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39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39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21" w:type="dxa"/>
            <w:tcBorders>
              <w:lef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E439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E4394" w:rsidRPr="00CE4394" w:rsidTr="00CE4394">
        <w:trPr>
          <w:trHeight w:val="313"/>
        </w:trPr>
        <w:tc>
          <w:tcPr>
            <w:tcW w:w="1781" w:type="dxa"/>
            <w:vMerge w:val="restart"/>
          </w:tcPr>
          <w:p w:rsidR="00CE4394" w:rsidRPr="00CE4394" w:rsidRDefault="00CE4394" w:rsidP="00CE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2233" w:type="dxa"/>
            <w:vMerge w:val="restart"/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  <w:bCs/>
              </w:rPr>
              <w:t>«Софинансирование мероприятий, предусмотренных государственной программой Архангельской области «Культура Русского Севера (2013-2024 годы)» на 2020-2022 годы»</w:t>
            </w: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Всего,</w:t>
            </w:r>
          </w:p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1 595,4</w:t>
            </w:r>
          </w:p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425,0</w:t>
            </w:r>
          </w:p>
        </w:tc>
        <w:tc>
          <w:tcPr>
            <w:tcW w:w="837" w:type="dxa"/>
            <w:tcBorders>
              <w:bottom w:val="single" w:sz="4" w:space="0" w:color="auto"/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297,6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2 318,0</w:t>
            </w:r>
          </w:p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E4394" w:rsidRPr="00CE4394" w:rsidTr="00CE4394">
        <w:trPr>
          <w:trHeight w:val="321"/>
        </w:trPr>
        <w:tc>
          <w:tcPr>
            <w:tcW w:w="1781" w:type="dxa"/>
            <w:vMerge/>
          </w:tcPr>
          <w:p w:rsidR="00CE4394" w:rsidRPr="00CE4394" w:rsidRDefault="00CE4394" w:rsidP="00CE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 xml:space="preserve">районный бюджет 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991,9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127,4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1 119,3</w:t>
            </w:r>
          </w:p>
        </w:tc>
      </w:tr>
      <w:tr w:rsidR="00CE4394" w:rsidRPr="00CE4394" w:rsidTr="00CE4394">
        <w:trPr>
          <w:trHeight w:val="186"/>
        </w:trPr>
        <w:tc>
          <w:tcPr>
            <w:tcW w:w="1781" w:type="dxa"/>
            <w:vMerge/>
          </w:tcPr>
          <w:p w:rsidR="00CE4394" w:rsidRPr="00CE4394" w:rsidRDefault="00CE4394" w:rsidP="00CE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283,9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283,9</w:t>
            </w:r>
          </w:p>
        </w:tc>
      </w:tr>
      <w:tr w:rsidR="00CE4394" w:rsidRPr="00CE4394" w:rsidTr="00CE4394">
        <w:trPr>
          <w:trHeight w:val="194"/>
        </w:trPr>
        <w:tc>
          <w:tcPr>
            <w:tcW w:w="1781" w:type="dxa"/>
            <w:vMerge/>
          </w:tcPr>
          <w:p w:rsidR="00CE4394" w:rsidRPr="00CE4394" w:rsidRDefault="00CE4394" w:rsidP="00CE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</w:tr>
      <w:tr w:rsidR="00CE4394" w:rsidRPr="00CE4394" w:rsidTr="00CE4394">
        <w:trPr>
          <w:trHeight w:val="194"/>
        </w:trPr>
        <w:tc>
          <w:tcPr>
            <w:tcW w:w="1781" w:type="dxa"/>
            <w:vMerge/>
          </w:tcPr>
          <w:p w:rsidR="00CE4394" w:rsidRPr="00CE4394" w:rsidRDefault="00CE4394" w:rsidP="00CE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бюджет поселений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297,6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297,6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297,6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892,8</w:t>
            </w:r>
          </w:p>
        </w:tc>
      </w:tr>
      <w:tr w:rsidR="00CE4394" w:rsidRPr="00CE4394" w:rsidTr="00CE4394">
        <w:trPr>
          <w:trHeight w:val="194"/>
        </w:trPr>
        <w:tc>
          <w:tcPr>
            <w:tcW w:w="1781" w:type="dxa"/>
            <w:vMerge/>
          </w:tcPr>
          <w:p w:rsidR="00CE4394" w:rsidRPr="00CE4394" w:rsidRDefault="00CE4394" w:rsidP="00CE4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33" w:type="dxa"/>
            <w:vMerge/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22,0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4394" w:rsidRPr="00CE4394" w:rsidRDefault="00CE4394" w:rsidP="00CE4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E4394">
              <w:rPr>
                <w:rFonts w:ascii="Times New Roman" w:eastAsia="Times New Roman" w:hAnsi="Times New Roman" w:cs="Times New Roman"/>
              </w:rPr>
              <w:t>22,0</w:t>
            </w:r>
          </w:p>
        </w:tc>
      </w:tr>
    </w:tbl>
    <w:p w:rsidR="00000000" w:rsidRDefault="00CE4394" w:rsidP="00CE43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4394" w:rsidRDefault="00CE4394" w:rsidP="00CE4394">
      <w:pPr>
        <w:spacing w:after="0" w:line="240" w:lineRule="auto"/>
        <w:jc w:val="center"/>
      </w:pPr>
      <w:r>
        <w:t>–––––––––––––––––––––––––</w:t>
      </w:r>
    </w:p>
    <w:sectPr w:rsidR="00CE4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4394"/>
    <w:rsid w:val="00CE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2019-12-18T12:21:00Z</dcterms:created>
  <dcterms:modified xsi:type="dcterms:W3CDTF">2019-12-18T12:24:00Z</dcterms:modified>
</cp:coreProperties>
</file>